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16956">
      <w:pPr>
        <w:widowControl/>
        <w:spacing w:line="495" w:lineRule="atLeast"/>
        <w:jc w:val="center"/>
        <w:outlineLvl w:val="0"/>
        <w:rPr>
          <w:rFonts w:ascii="微软雅黑" w:hAnsi="微软雅黑" w:eastAsia="微软雅黑" w:cs="宋体"/>
          <w:color w:val="172E6A"/>
          <w:kern w:val="36"/>
          <w:sz w:val="36"/>
          <w:szCs w:val="36"/>
        </w:rPr>
      </w:pPr>
      <w:r>
        <w:rPr>
          <w:rFonts w:hint="eastAsia" w:ascii="微软雅黑" w:hAnsi="微软雅黑" w:eastAsia="微软雅黑" w:cs="宋体"/>
          <w:color w:val="172E6A"/>
          <w:kern w:val="36"/>
          <w:sz w:val="36"/>
          <w:szCs w:val="36"/>
        </w:rPr>
        <w:t>关于组织申报2025年度省前沿技术研发计划（现代农业）项目的通知</w:t>
      </w:r>
    </w:p>
    <w:p w14:paraId="2DDA6BF4">
      <w:pPr>
        <w:widowControl/>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校内各相关院系：</w:t>
      </w:r>
    </w:p>
    <w:p w14:paraId="3CDA4664">
      <w:pPr>
        <w:widowControl/>
        <w:ind w:firstLine="560" w:firstLineChars="200"/>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根据《江苏省科技厅江苏省财政厅关于印发&lt;2025年度省前沿技术研发计划（现代农业）项目指南&gt;及组织申报的通知（苏科资发〔2025〕46号）》文件通知，现面向各院系组织项目申报，有关事项通知如下。</w:t>
      </w:r>
    </w:p>
    <w:p w14:paraId="613EF54B">
      <w:pPr>
        <w:widowControl/>
        <w:rPr>
          <w:rFonts w:cs="宋体" w:asciiTheme="minorEastAsia" w:hAnsiTheme="minorEastAsia"/>
          <w:color w:val="313131"/>
          <w:kern w:val="0"/>
          <w:sz w:val="28"/>
          <w:szCs w:val="28"/>
        </w:rPr>
      </w:pPr>
      <w:r>
        <w:rPr>
          <w:rFonts w:hint="eastAsia" w:cs="宋体" w:asciiTheme="minorEastAsia" w:hAnsiTheme="minorEastAsia"/>
          <w:b/>
          <w:bCs/>
          <w:color w:val="313131"/>
          <w:kern w:val="0"/>
          <w:sz w:val="28"/>
          <w:szCs w:val="28"/>
        </w:rPr>
        <w:t>一、申报要求</w:t>
      </w:r>
    </w:p>
    <w:p w14:paraId="41F97CB6">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1.项目具有明确的研发内容，符合指南重点领域和方向，完成基础理论创新，实施期满后能够形成样品、样机或原型机，并具备产业化应用场景。项目名称以“XXX技术研发”作为后缀。</w:t>
      </w:r>
    </w:p>
    <w:p w14:paraId="0F66015D">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2.项目应具有较好的研发基础。项目申报单位近年内须有效授权专利等自主知识产权，项目负责人及团队具有较高的学术水平和创新能力。实施期满后一般须形成发明专利申请或授权，以及国家标准、行业标准等标准化研究成果。对无实质创新研发内容项目和一般性技术应用与推广项目均不予受理。</w:t>
      </w:r>
    </w:p>
    <w:p w14:paraId="1DB00ECA">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3.高校牵头申报项目必须有省内企业联合，且企业实质性参与项目研发工作。鼓励长三角地区产学研用协同攻关。多个单位联合申报的，应签订联合申报协议，并明确协议签署时间。联合申报协议需明确任务分工，经费分配，知识产权划分等内容。</w:t>
      </w:r>
    </w:p>
    <w:p w14:paraId="71A5853A">
      <w:pPr>
        <w:widowControl/>
        <w:rPr>
          <w:rFonts w:cs="宋体" w:asciiTheme="minorEastAsia" w:hAnsiTheme="minorEastAsia"/>
          <w:color w:val="313131"/>
          <w:kern w:val="0"/>
          <w:sz w:val="28"/>
          <w:szCs w:val="28"/>
        </w:rPr>
      </w:pPr>
      <w:r>
        <w:rPr>
          <w:rFonts w:hint="eastAsia" w:cs="宋体" w:asciiTheme="minorEastAsia" w:hAnsiTheme="minorEastAsia"/>
          <w:b/>
          <w:bCs/>
          <w:color w:val="313131"/>
          <w:kern w:val="0"/>
          <w:sz w:val="28"/>
          <w:szCs w:val="28"/>
        </w:rPr>
        <w:t>二、申报要求</w:t>
      </w:r>
    </w:p>
    <w:p w14:paraId="35EECB91">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1.项目负责人须为项目申报单位的在职人员（与申报单位签订劳动合同），并确保在职期间能完成项目任务。鼓励和支持40岁以下（1985年1月1日（含）以后出生）青年人才牵头或参与申报。青年人才担任项目负责人和课题骨干的比例原则上不低于</w:t>
      </w:r>
      <w:r>
        <w:rPr>
          <w:rFonts w:hint="eastAsia" w:cs="宋体" w:asciiTheme="minorEastAsia" w:hAnsiTheme="minorEastAsia"/>
          <w:b/>
          <w:bCs/>
          <w:color w:val="313131"/>
          <w:kern w:val="0"/>
          <w:sz w:val="28"/>
          <w:szCs w:val="28"/>
        </w:rPr>
        <w:t>40%</w:t>
      </w:r>
      <w:r>
        <w:rPr>
          <w:rFonts w:hint="eastAsia" w:cs="宋体" w:asciiTheme="minorEastAsia" w:hAnsiTheme="minorEastAsia"/>
          <w:color w:val="313131"/>
          <w:kern w:val="0"/>
          <w:sz w:val="28"/>
          <w:szCs w:val="28"/>
        </w:rPr>
        <w:t>。</w:t>
      </w:r>
    </w:p>
    <w:p w14:paraId="17058049">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2.</w:t>
      </w:r>
      <w:r>
        <w:rPr>
          <w:rFonts w:hint="eastAsia" w:cs="宋体" w:asciiTheme="minorEastAsia" w:hAnsiTheme="minorEastAsia"/>
          <w:b/>
          <w:bCs/>
          <w:color w:val="313131"/>
          <w:kern w:val="0"/>
          <w:sz w:val="28"/>
          <w:szCs w:val="28"/>
        </w:rPr>
        <w:t>限项要求：</w:t>
      </w:r>
      <w:r>
        <w:rPr>
          <w:rFonts w:hint="eastAsia" w:cs="宋体" w:asciiTheme="minorEastAsia" w:hAnsiTheme="minorEastAsia"/>
          <w:color w:val="313131"/>
          <w:kern w:val="0"/>
          <w:sz w:val="28"/>
          <w:szCs w:val="28"/>
        </w:rPr>
        <w:t>有在研省科技计划项目的项目负责人，不得牵头申报本年度项目（揭榜挂帅项目除外）。同一年度同一负责人只能申报一项省科技计划项目。揭榜挂帅项目不受限项名额限制。参与指南编制的专家不得牵头或参与申报本计划项目。</w:t>
      </w:r>
    </w:p>
    <w:p w14:paraId="3910B314">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3.同一单位以及关联单位不得将同一项目（依托同一建设内容、同一关键技术等同一核心内容编制的不同项目，视为同一项目）重复或同时申报省科技厅、省发展改革委、省工业和信息化厅等部门项目。凡属重复申报或同时申报的，取消立项资格。</w:t>
      </w:r>
    </w:p>
    <w:p w14:paraId="3A545711">
      <w:pPr>
        <w:widowControl/>
        <w:rPr>
          <w:rFonts w:cs="宋体" w:asciiTheme="minorEastAsia" w:hAnsiTheme="minorEastAsia"/>
          <w:color w:val="313131"/>
          <w:kern w:val="0"/>
          <w:sz w:val="28"/>
          <w:szCs w:val="28"/>
        </w:rPr>
      </w:pPr>
      <w:r>
        <w:rPr>
          <w:rFonts w:hint="eastAsia" w:cs="宋体" w:asciiTheme="minorEastAsia" w:hAnsiTheme="minorEastAsia"/>
          <w:b/>
          <w:bCs/>
          <w:color w:val="313131"/>
          <w:kern w:val="0"/>
          <w:sz w:val="28"/>
          <w:szCs w:val="28"/>
        </w:rPr>
        <w:t>三、经费要求</w:t>
      </w:r>
    </w:p>
    <w:p w14:paraId="6DE64287">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1.每个项目省拨经费支持额度最高不超过400万元，同时需要提供比例不低于1:1的配套经费。每个项目实施周期一般不超过4年。</w:t>
      </w:r>
    </w:p>
    <w:p w14:paraId="31D5744C">
      <w:pPr>
        <w:widowControl/>
        <w:rPr>
          <w:rFonts w:cs="宋体" w:asciiTheme="minorEastAsia" w:hAnsiTheme="minorEastAsia"/>
          <w:color w:val="313131"/>
          <w:kern w:val="0"/>
          <w:sz w:val="28"/>
          <w:szCs w:val="28"/>
        </w:rPr>
      </w:pPr>
      <w:r>
        <w:rPr>
          <w:rFonts w:hint="eastAsia" w:cs="宋体" w:asciiTheme="minorEastAsia" w:hAnsiTheme="minorEastAsia"/>
          <w:b/>
          <w:bCs/>
          <w:color w:val="313131"/>
          <w:kern w:val="0"/>
          <w:sz w:val="28"/>
          <w:szCs w:val="28"/>
        </w:rPr>
        <w:t>四、推荐方式</w:t>
      </w:r>
    </w:p>
    <w:p w14:paraId="24AC50F9">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1.由学校直接推荐至科技厅，</w:t>
      </w:r>
      <w:r>
        <w:rPr>
          <w:rFonts w:hint="eastAsia" w:cs="宋体" w:asciiTheme="minorEastAsia" w:hAnsiTheme="minorEastAsia"/>
          <w:color w:val="313131"/>
          <w:kern w:val="0"/>
          <w:sz w:val="28"/>
          <w:szCs w:val="28"/>
          <w:highlight w:val="yellow"/>
        </w:rPr>
        <w:t>推荐指标3项。</w:t>
      </w:r>
      <w:r>
        <w:rPr>
          <w:rFonts w:hint="eastAsia" w:cs="宋体" w:asciiTheme="minorEastAsia" w:hAnsiTheme="minorEastAsia"/>
          <w:color w:val="313131"/>
          <w:kern w:val="0"/>
          <w:sz w:val="28"/>
          <w:szCs w:val="28"/>
        </w:rPr>
        <w:t>由学院先行组织，学校汇总后组织校内预评审，确定推荐资格。揭榜挂帅项目不受推荐名额限制。</w:t>
      </w:r>
    </w:p>
    <w:p w14:paraId="6DFFF2E2">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2.校内预评审：采用无纸化方式，</w:t>
      </w:r>
      <w:r>
        <w:rPr>
          <w:rFonts w:hint="eastAsia" w:cs="宋体" w:asciiTheme="minorEastAsia" w:hAnsiTheme="minorEastAsia"/>
          <w:b/>
          <w:bCs/>
          <w:color w:val="313131"/>
          <w:kern w:val="0"/>
          <w:sz w:val="28"/>
          <w:szCs w:val="28"/>
        </w:rPr>
        <w:t>以院</w:t>
      </w:r>
      <w:r>
        <w:rPr>
          <w:rFonts w:hint="eastAsia" w:cs="宋体" w:asciiTheme="minorEastAsia" w:hAnsiTheme="minorEastAsia"/>
          <w:b/>
          <w:bCs/>
          <w:color w:val="313131"/>
          <w:kern w:val="0"/>
          <w:sz w:val="28"/>
          <w:szCs w:val="28"/>
          <w:lang w:val="en-US" w:eastAsia="zh-CN"/>
        </w:rPr>
        <w:t>部</w:t>
      </w:r>
      <w:r>
        <w:rPr>
          <w:rFonts w:hint="eastAsia" w:cs="宋体" w:asciiTheme="minorEastAsia" w:hAnsiTheme="minorEastAsia"/>
          <w:b/>
          <w:bCs/>
          <w:color w:val="313131"/>
          <w:kern w:val="0"/>
          <w:sz w:val="28"/>
          <w:szCs w:val="28"/>
        </w:rPr>
        <w:t>为单位</w:t>
      </w:r>
      <w:bookmarkStart w:id="0" w:name="_GoBack"/>
      <w:bookmarkEnd w:id="0"/>
      <w:r>
        <w:rPr>
          <w:rFonts w:hint="eastAsia" w:cs="宋体" w:asciiTheme="minorEastAsia" w:hAnsiTheme="minorEastAsia"/>
          <w:color w:val="313131"/>
          <w:kern w:val="0"/>
          <w:sz w:val="28"/>
          <w:szCs w:val="28"/>
        </w:rPr>
        <w:t>将申报材料（附件1申报书、附件4推荐汇总表）打包并以“指南代码+项目负责人+项目名称”命名，汇总后和“申报信息表”发送至</w:t>
      </w:r>
      <w:r>
        <w:rPr>
          <w:rFonts w:cs="宋体" w:asciiTheme="minorEastAsia" w:hAnsiTheme="minorEastAsia"/>
          <w:color w:val="313131"/>
          <w:kern w:val="0"/>
          <w:sz w:val="28"/>
          <w:szCs w:val="28"/>
        </w:rPr>
        <w:t>wjcpu</w:t>
      </w:r>
      <w:r>
        <w:rPr>
          <w:rFonts w:hint="eastAsia" w:cs="宋体" w:asciiTheme="minorEastAsia" w:hAnsiTheme="minorEastAsia"/>
          <w:color w:val="313131"/>
          <w:kern w:val="0"/>
          <w:sz w:val="28"/>
          <w:szCs w:val="28"/>
        </w:rPr>
        <w:t>@</w:t>
      </w:r>
      <w:r>
        <w:rPr>
          <w:rFonts w:cs="宋体" w:asciiTheme="minorEastAsia" w:hAnsiTheme="minorEastAsia"/>
          <w:color w:val="313131"/>
          <w:kern w:val="0"/>
          <w:sz w:val="28"/>
          <w:szCs w:val="28"/>
        </w:rPr>
        <w:t>cpu</w:t>
      </w:r>
      <w:r>
        <w:rPr>
          <w:rFonts w:hint="eastAsia" w:cs="宋体" w:asciiTheme="minorEastAsia" w:hAnsiTheme="minorEastAsia"/>
          <w:color w:val="313131"/>
          <w:kern w:val="0"/>
          <w:sz w:val="28"/>
          <w:szCs w:val="28"/>
        </w:rPr>
        <w:t>.edu.cn。</w:t>
      </w:r>
      <w:r>
        <w:rPr>
          <w:rFonts w:hint="eastAsia" w:cs="宋体" w:asciiTheme="minorEastAsia" w:hAnsiTheme="minorEastAsia"/>
          <w:b/>
          <w:bCs/>
          <w:color w:val="313131"/>
          <w:kern w:val="0"/>
          <w:sz w:val="28"/>
          <w:szCs w:val="28"/>
        </w:rPr>
        <w:t>不接受老师直接申报。</w:t>
      </w:r>
    </w:p>
    <w:p w14:paraId="00B861B6">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3.时间截点：校内预申报截止时间为3月6日（周四）</w:t>
      </w:r>
      <w:r>
        <w:rPr>
          <w:rFonts w:hint="eastAsia" w:cs="宋体" w:asciiTheme="minorEastAsia" w:hAnsiTheme="minorEastAsia"/>
          <w:color w:val="313131"/>
          <w:kern w:val="0"/>
          <w:sz w:val="28"/>
          <w:szCs w:val="28"/>
          <w:lang w:val="en-US" w:eastAsia="zh-CN"/>
        </w:rPr>
        <w:t>下</w:t>
      </w:r>
      <w:r>
        <w:rPr>
          <w:rFonts w:hint="eastAsia" w:cs="宋体" w:asciiTheme="minorEastAsia" w:hAnsiTheme="minorEastAsia"/>
          <w:color w:val="313131"/>
          <w:kern w:val="0"/>
          <w:sz w:val="28"/>
          <w:szCs w:val="28"/>
        </w:rPr>
        <w:t>午1</w:t>
      </w:r>
      <w:r>
        <w:rPr>
          <w:rFonts w:hint="eastAsia" w:cs="宋体" w:asciiTheme="minorEastAsia" w:hAnsiTheme="minorEastAsia"/>
          <w:color w:val="313131"/>
          <w:kern w:val="0"/>
          <w:sz w:val="28"/>
          <w:szCs w:val="28"/>
          <w:lang w:val="en-US" w:eastAsia="zh-CN"/>
        </w:rPr>
        <w:t>7:00前</w:t>
      </w:r>
      <w:r>
        <w:rPr>
          <w:rFonts w:hint="eastAsia" w:cs="宋体" w:asciiTheme="minorEastAsia" w:hAnsiTheme="minorEastAsia"/>
          <w:color w:val="313131"/>
          <w:kern w:val="0"/>
          <w:sz w:val="28"/>
          <w:szCs w:val="28"/>
        </w:rPr>
        <w:t>，逾期不再受理。</w:t>
      </w:r>
    </w:p>
    <w:p w14:paraId="78101A54">
      <w:pPr>
        <w:widowControl/>
        <w:ind w:firstLine="645"/>
        <w:rPr>
          <w:rFonts w:cs="宋体" w:asciiTheme="minorEastAsia" w:hAnsiTheme="minorEastAsia"/>
          <w:color w:val="313131"/>
          <w:kern w:val="0"/>
          <w:sz w:val="28"/>
          <w:szCs w:val="28"/>
        </w:rPr>
      </w:pPr>
    </w:p>
    <w:p w14:paraId="2FF59EAD">
      <w:pPr>
        <w:widowControl/>
        <w:ind w:firstLine="645"/>
        <w:rPr>
          <w:rFonts w:cs="宋体" w:asciiTheme="minorEastAsia" w:hAnsiTheme="minorEastAsia"/>
          <w:color w:val="313131"/>
          <w:kern w:val="0"/>
          <w:sz w:val="28"/>
          <w:szCs w:val="28"/>
        </w:rPr>
      </w:pPr>
    </w:p>
    <w:p w14:paraId="3C0799AC">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附件1：申报书模版</w:t>
      </w:r>
    </w:p>
    <w:p w14:paraId="34FD72F1">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附件2：联合申报协议参考模版</w:t>
      </w:r>
    </w:p>
    <w:p w14:paraId="045D9EC7">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附件3：自筹经费承诺模版</w:t>
      </w:r>
    </w:p>
    <w:p w14:paraId="16B0B727">
      <w:pPr>
        <w:widowControl/>
        <w:ind w:firstLine="645"/>
        <w:rPr>
          <w:rFonts w:cs="宋体" w:asciiTheme="minorEastAsia" w:hAnsiTheme="minorEastAsia"/>
          <w:color w:val="313131"/>
          <w:kern w:val="0"/>
          <w:sz w:val="28"/>
          <w:szCs w:val="28"/>
        </w:rPr>
      </w:pPr>
      <w:r>
        <w:rPr>
          <w:rFonts w:hint="eastAsia" w:cs="宋体" w:asciiTheme="minorEastAsia" w:hAnsiTheme="minorEastAsia"/>
          <w:color w:val="313131"/>
          <w:kern w:val="0"/>
          <w:sz w:val="28"/>
          <w:szCs w:val="28"/>
        </w:rPr>
        <w:t>附件4：推荐汇总表</w:t>
      </w:r>
    </w:p>
    <w:p w14:paraId="2D66E81E">
      <w:pPr>
        <w:widowControl/>
        <w:ind w:firstLine="645"/>
        <w:rPr>
          <w:rFonts w:cs="宋体" w:asciiTheme="minorEastAsia" w:hAnsiTheme="minorEastAsia"/>
          <w:color w:val="313131"/>
          <w:kern w:val="0"/>
          <w:sz w:val="28"/>
          <w:szCs w:val="28"/>
        </w:rPr>
      </w:pPr>
    </w:p>
    <w:p w14:paraId="637AD1F3">
      <w:pPr>
        <w:rPr>
          <w:rFonts w:asciiTheme="minorEastAsia" w:hAnsiTheme="minorEastAsia"/>
          <w:sz w:val="28"/>
          <w:szCs w:val="28"/>
        </w:rPr>
      </w:pPr>
    </w:p>
    <w:p w14:paraId="23CA6AAE">
      <w:pPr>
        <w:ind w:firstLine="564"/>
        <w:rPr>
          <w:rFonts w:asciiTheme="minorEastAsia" w:hAnsiTheme="minorEastAsia"/>
          <w:sz w:val="28"/>
          <w:szCs w:val="28"/>
        </w:rPr>
      </w:pPr>
      <w:r>
        <w:rPr>
          <w:rFonts w:hint="eastAsia" w:asciiTheme="minorEastAsia" w:hAnsiTheme="minorEastAsia"/>
          <w:sz w:val="28"/>
          <w:szCs w:val="28"/>
        </w:rPr>
        <w:t>联系人</w:t>
      </w:r>
      <w:r>
        <w:rPr>
          <w:rFonts w:asciiTheme="minorEastAsia" w:hAnsiTheme="minorEastAsia"/>
          <w:sz w:val="28"/>
          <w:szCs w:val="28"/>
        </w:rPr>
        <w:t>：吴</w:t>
      </w:r>
      <w:r>
        <w:rPr>
          <w:rFonts w:hint="eastAsia" w:asciiTheme="minorEastAsia" w:hAnsiTheme="minorEastAsia"/>
          <w:sz w:val="28"/>
          <w:szCs w:val="28"/>
        </w:rPr>
        <w:t xml:space="preserve"> </w:t>
      </w:r>
      <w:r>
        <w:rPr>
          <w:rFonts w:asciiTheme="minorEastAsia" w:hAnsiTheme="minorEastAsia"/>
          <w:sz w:val="28"/>
          <w:szCs w:val="28"/>
        </w:rPr>
        <w:t xml:space="preserve"> 进</w:t>
      </w:r>
    </w:p>
    <w:p w14:paraId="3672E4E0">
      <w:pPr>
        <w:ind w:firstLine="564"/>
        <w:rPr>
          <w:rFonts w:asciiTheme="minorEastAsia" w:hAnsiTheme="minorEastAsia"/>
          <w:sz w:val="28"/>
          <w:szCs w:val="28"/>
        </w:rPr>
      </w:pPr>
      <w:r>
        <w:rPr>
          <w:rFonts w:hint="eastAsia" w:asciiTheme="minorEastAsia" w:hAnsiTheme="minorEastAsia"/>
          <w:sz w:val="28"/>
          <w:szCs w:val="28"/>
        </w:rPr>
        <w:t>电  话：8</w:t>
      </w:r>
      <w:r>
        <w:rPr>
          <w:rFonts w:asciiTheme="minorEastAsia" w:hAnsiTheme="minorEastAsia"/>
          <w:sz w:val="28"/>
          <w:szCs w:val="28"/>
        </w:rPr>
        <w:t>6185053/</w:t>
      </w:r>
      <w:r>
        <w:rPr>
          <w:rFonts w:hint="eastAsia" w:asciiTheme="minorEastAsia" w:hAnsiTheme="minorEastAsia"/>
          <w:sz w:val="28"/>
          <w:szCs w:val="28"/>
        </w:rPr>
        <w:t>13611596779</w:t>
      </w:r>
    </w:p>
    <w:p w14:paraId="6384A215">
      <w:pPr>
        <w:ind w:firstLine="564"/>
        <w:rPr>
          <w:rFonts w:asciiTheme="minorEastAsia" w:hAnsiTheme="minorEastAsia"/>
          <w:sz w:val="28"/>
          <w:szCs w:val="28"/>
        </w:rPr>
      </w:pPr>
    </w:p>
    <w:p w14:paraId="339C0449">
      <w:pPr>
        <w:rPr>
          <w:rFonts w:asciiTheme="minorEastAsia" w:hAnsiTheme="minorEastAsia"/>
          <w:sz w:val="28"/>
          <w:szCs w:val="28"/>
        </w:rPr>
      </w:pPr>
    </w:p>
    <w:p w14:paraId="14856BB6">
      <w:pPr>
        <w:rPr>
          <w:rFonts w:asciiTheme="minorEastAsia" w:hAnsiTheme="minorEastAsia"/>
          <w:sz w:val="28"/>
          <w:szCs w:val="28"/>
        </w:rPr>
      </w:pPr>
    </w:p>
    <w:p w14:paraId="71DDFA17">
      <w:pPr>
        <w:ind w:firstLine="7000" w:firstLineChars="2500"/>
        <w:rPr>
          <w:rFonts w:asciiTheme="minorEastAsia" w:hAnsiTheme="minorEastAsia"/>
          <w:sz w:val="28"/>
          <w:szCs w:val="28"/>
        </w:rPr>
      </w:pPr>
      <w:r>
        <w:rPr>
          <w:rFonts w:hint="eastAsia" w:asciiTheme="minorEastAsia" w:hAnsiTheme="minorEastAsia"/>
          <w:sz w:val="28"/>
          <w:szCs w:val="28"/>
        </w:rPr>
        <w:t>科学技术研究院</w:t>
      </w:r>
    </w:p>
    <w:p w14:paraId="7419AFCA">
      <w:pPr>
        <w:ind w:firstLine="7000" w:firstLineChars="2500"/>
        <w:rPr>
          <w:rFonts w:asciiTheme="minorEastAsia" w:hAnsiTheme="minorEastAsia"/>
          <w:sz w:val="28"/>
          <w:szCs w:val="28"/>
        </w:rPr>
      </w:pPr>
      <w:r>
        <w:rPr>
          <w:rFonts w:hint="eastAsia" w:asciiTheme="minorEastAsia" w:hAnsiTheme="minorEastAsia"/>
          <w:sz w:val="28"/>
          <w:szCs w:val="28"/>
        </w:rPr>
        <w:t>2025年2月2</w:t>
      </w:r>
      <w:r>
        <w:rPr>
          <w:rFonts w:asciiTheme="minorEastAsia" w:hAnsiTheme="minorEastAsia"/>
          <w:sz w:val="28"/>
          <w:szCs w:val="28"/>
        </w:rPr>
        <w:t>7</w:t>
      </w:r>
      <w:r>
        <w:rPr>
          <w:rFonts w:hint="eastAsia" w:asciiTheme="minorEastAsia" w:hAnsiTheme="minorEastAsia"/>
          <w:sz w:val="28"/>
          <w:szCs w:val="28"/>
        </w:rPr>
        <w:t>日</w:t>
      </w:r>
    </w:p>
    <w:p w14:paraId="77A20016">
      <w:pPr>
        <w:rPr>
          <w:rFonts w:asciiTheme="minorEastAsia" w:hAnsiTheme="minorEastAsia"/>
          <w:sz w:val="28"/>
          <w:szCs w:val="28"/>
        </w:rPr>
      </w:pPr>
    </w:p>
    <w:p w14:paraId="2B1F04D2">
      <w:pPr>
        <w:rPr>
          <w:rFonts w:asciiTheme="minorEastAsia" w:hAnsiTheme="minorEastAsia"/>
          <w:sz w:val="28"/>
          <w:szCs w:val="28"/>
        </w:rPr>
      </w:pPr>
    </w:p>
    <w:p w14:paraId="447641B0">
      <w:pPr>
        <w:rPr>
          <w:rFonts w:asciiTheme="minorEastAsia" w:hAnsiTheme="minorEastAsia"/>
          <w:sz w:val="28"/>
          <w:szCs w:val="28"/>
        </w:rPr>
      </w:pPr>
    </w:p>
    <w:p w14:paraId="5250E4BA">
      <w:pPr>
        <w:rPr>
          <w:rFonts w:asciiTheme="minorEastAsia" w:hAnsiTheme="minorEastAsia"/>
          <w:sz w:val="28"/>
          <w:szCs w:val="28"/>
        </w:rPr>
      </w:pPr>
    </w:p>
    <w:p w14:paraId="65D8273D">
      <w:pPr>
        <w:rPr>
          <w:rFonts w:asciiTheme="minorEastAsia" w:hAnsiTheme="minorEastAsia"/>
          <w:sz w:val="28"/>
          <w:szCs w:val="28"/>
        </w:rPr>
      </w:pPr>
    </w:p>
    <w:p w14:paraId="4FB63EB9">
      <w:pPr>
        <w:rPr>
          <w:rFonts w:asciiTheme="minorEastAsia" w:hAnsiTheme="minorEastAsia"/>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BA3"/>
    <w:rsid w:val="00023314"/>
    <w:rsid w:val="00050BA3"/>
    <w:rsid w:val="00217C79"/>
    <w:rsid w:val="00346219"/>
    <w:rsid w:val="00F31FF4"/>
    <w:rsid w:val="66FA5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1249</Words>
  <Characters>1322</Characters>
  <Lines>9</Lines>
  <Paragraphs>2</Paragraphs>
  <TotalTime>12</TotalTime>
  <ScaleCrop>false</ScaleCrop>
  <LinksUpToDate>false</LinksUpToDate>
  <CharactersWithSpaces>1326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2025-02-26T09:50:00Z</dcterms:created>
  <dc:creator>Microsoft 帐户</dc:creator>
  <cp:lastModifiedBy>54HEAD</cp:lastModifiedBy>
  <dcterms:modified xsi:type="dcterms:W3CDTF">2025-02-27T14:16:16Z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eyJoZGlkIjoiN2YzNjBkOTgyNWQ1YTMxYzM3MzMwNWFiODNmOWIzYWMiLCJ1c2VySWQiOiIyNTYzMjAxMjAifQ==</vt:lpwstr>
  </property>
  <property fmtid="{D5CDD505-2E9C-101B-9397-08002B2CF9AE}" pid="3" name="KSOProductBuildVer">
    <vt:lpwstr>2052-12.1.0.19770</vt:lpwstr>
  </property>
  <property fmtid="{D5CDD505-2E9C-101B-9397-08002B2CF9AE}" pid="4" name="ICV">
    <vt:lpwstr>AF2EC85595D04D8B925962D16E20EE5B_12</vt:lpwstr>
  </property>
</Properties>
</file>