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876" w:rsidRDefault="004D1876" w:rsidP="004D1876">
      <w:pPr>
        <w:autoSpaceDE/>
        <w:adjustRightInd/>
        <w:jc w:val="both"/>
        <w:rPr>
          <w:rFonts w:eastAsia="黑体"/>
          <w:color w:val="000000" w:themeColor="text1"/>
          <w:sz w:val="32"/>
          <w:szCs w:val="32"/>
        </w:rPr>
      </w:pPr>
      <w:r>
        <w:rPr>
          <w:rFonts w:eastAsia="黑体" w:hint="eastAsia"/>
          <w:color w:val="000000" w:themeColor="text1"/>
          <w:sz w:val="32"/>
          <w:szCs w:val="32"/>
        </w:rPr>
        <w:t>附件</w:t>
      </w:r>
      <w:r>
        <w:rPr>
          <w:rFonts w:eastAsia="黑体"/>
          <w:color w:val="000000" w:themeColor="text1"/>
          <w:sz w:val="32"/>
          <w:szCs w:val="32"/>
        </w:rPr>
        <w:t xml:space="preserve">3 </w:t>
      </w:r>
    </w:p>
    <w:p w:rsidR="004D1876" w:rsidRDefault="004D1876" w:rsidP="004D1876">
      <w:pPr>
        <w:autoSpaceDE/>
        <w:adjustRightInd/>
        <w:spacing w:line="600" w:lineRule="exact"/>
        <w:jc w:val="center"/>
        <w:rPr>
          <w:rFonts w:eastAsia="方正小标宋_GBK"/>
          <w:color w:val="000000" w:themeColor="text1"/>
          <w:sz w:val="36"/>
          <w:szCs w:val="36"/>
        </w:rPr>
      </w:pPr>
      <w:r>
        <w:rPr>
          <w:rFonts w:eastAsia="方正小标宋_GBK" w:hint="eastAsia"/>
          <w:color w:val="000000" w:themeColor="text1"/>
          <w:sz w:val="36"/>
          <w:szCs w:val="36"/>
        </w:rPr>
        <w:t>江苏省工程研究中心申请报告大纲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一、摘要（</w:t>
      </w:r>
      <w:r>
        <w:rPr>
          <w:rFonts w:eastAsia="方正黑体_GBK"/>
          <w:color w:val="000000" w:themeColor="text1"/>
          <w:sz w:val="32"/>
          <w:szCs w:val="32"/>
        </w:rPr>
        <w:t>1000</w:t>
      </w:r>
      <w:r>
        <w:rPr>
          <w:rFonts w:eastAsia="方正黑体_GBK" w:hint="eastAsia"/>
          <w:color w:val="000000" w:themeColor="text1"/>
          <w:sz w:val="32"/>
          <w:szCs w:val="32"/>
        </w:rPr>
        <w:t>字左右）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二、建设背景及必要性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（一）本领域在国民经济建设中的地位与作用、所属领域产业链中所处位置。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（二）国内外技术和产业发展状况、趋势与市场分析。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（三）本领域当前亟待解决的关键技术问题。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（四）本领域成果转化与产业化存在的主要问题及原因。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（五）建设工程研究中心的重要性、必要性和作用。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三、依托单位概况和建设条件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（一）依托单位基本情况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包括但不限于：注册地点，注册时间，经营范围，注册资金，主要股东情况，经营情况，行业地位，研发实力，依托单位与拟申报工程研究中心的关系说明，对拟申报工程研究中心建设的支持情况（企业、高校院所请根据自身情况选择上述内容进行阐述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（二）拟工程化、产业化的重要科研成果及其水平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1</w:t>
      </w:r>
      <w:r>
        <w:rPr>
          <w:rFonts w:eastAsia="方正仿宋_GBK" w:hint="eastAsia"/>
          <w:color w:val="000000" w:themeColor="text1"/>
          <w:sz w:val="32"/>
          <w:szCs w:val="32"/>
        </w:rPr>
        <w:t>．主要研发成果、技术来源及先进性。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2</w:t>
      </w:r>
      <w:r>
        <w:rPr>
          <w:rFonts w:eastAsia="方正仿宋_GBK" w:hint="eastAsia"/>
          <w:color w:val="000000" w:themeColor="text1"/>
          <w:sz w:val="32"/>
          <w:szCs w:val="32"/>
        </w:rPr>
        <w:t>．研发成果所处阶段，工程化和产业化情况。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3</w:t>
      </w:r>
      <w:r>
        <w:rPr>
          <w:rFonts w:eastAsia="方正仿宋_GBK" w:hint="eastAsia"/>
          <w:color w:val="000000" w:themeColor="text1"/>
          <w:sz w:val="32"/>
          <w:szCs w:val="32"/>
        </w:rPr>
        <w:t>．产学研用结合情况、行业内协同、产业融合情况及主要成果。高校院所需说明成果转移转化情况和转移转化收入情况。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四、主要任务与目标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（一）工程研究中心发展思路。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lastRenderedPageBreak/>
        <w:t>（二）工程研究中心主要研发方向。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（三）工程研究中心建设期及中长期目标。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五、总投资与建设内容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（一）总投资及资金来源。工程研究中心的总投资，投资构成，资金来源。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（二）主要建设内容。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1</w:t>
      </w:r>
      <w:r>
        <w:rPr>
          <w:rFonts w:eastAsia="方正仿宋_GBK" w:hint="eastAsia"/>
          <w:color w:val="000000" w:themeColor="text1"/>
          <w:sz w:val="32"/>
          <w:szCs w:val="32"/>
        </w:rPr>
        <w:t>．场地新建或改造。新建或改造场地地址，面积，建设标准，功能分区，与原研发场所关系，投入资金等。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2</w:t>
      </w:r>
      <w:r>
        <w:rPr>
          <w:rFonts w:eastAsia="方正仿宋_GBK" w:hint="eastAsia"/>
          <w:color w:val="000000" w:themeColor="text1"/>
          <w:sz w:val="32"/>
          <w:szCs w:val="32"/>
        </w:rPr>
        <w:t>．研发设备购置。新增研发设备列表，投入资金等。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3</w:t>
      </w:r>
      <w:r>
        <w:rPr>
          <w:rFonts w:eastAsia="方正仿宋_GBK" w:hint="eastAsia"/>
          <w:color w:val="000000" w:themeColor="text1"/>
          <w:sz w:val="32"/>
          <w:szCs w:val="32"/>
        </w:rPr>
        <w:t>．人才引进。拟引进人才数量、层次，建设期人才引进投入资金等。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4</w:t>
      </w:r>
      <w:r>
        <w:rPr>
          <w:rFonts w:eastAsia="方正仿宋_GBK" w:hint="eastAsia"/>
          <w:color w:val="000000" w:themeColor="text1"/>
          <w:sz w:val="32"/>
          <w:szCs w:val="32"/>
        </w:rPr>
        <w:t>．技术研发。在现有技术基础上，制定建设期技术研发计划，包括研发内容、研发目标、计划投入资金等。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（三）进度安排。建设期分年度建设目标和建设任务，包括研发投入、技术成果产出、人才培养等。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六、管理与运行机制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（一）机构设置与职责。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（二）技术带头人、管理人员概况及技术队伍情况。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（三）运行管理机制。</w:t>
      </w:r>
    </w:p>
    <w:p w:rsidR="004D1876" w:rsidRDefault="004D1876" w:rsidP="004D1876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包括但不限于：是否以独立法人形式运行，非独立法人运行如何与依托单位在人、财、物，特别是科技成果所有权的管理上保持清晰边界，如何联合本行业以及跨地区、跨行业的创新力量，如何促进成果转移转化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七、附件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经审计</w:t>
      </w:r>
      <w:r>
        <w:rPr>
          <w:rFonts w:eastAsia="方正仿宋_GBK" w:hint="eastAsia"/>
          <w:color w:val="000000" w:themeColor="text1"/>
          <w:sz w:val="32"/>
          <w:szCs w:val="32"/>
        </w:rPr>
        <w:t>的</w:t>
      </w:r>
      <w:r>
        <w:rPr>
          <w:rFonts w:eastAsia="方正仿宋_GBK" w:hint="eastAsia"/>
          <w:b/>
          <w:bCs/>
          <w:color w:val="000000" w:themeColor="text1"/>
          <w:sz w:val="32"/>
          <w:szCs w:val="32"/>
        </w:rPr>
        <w:t>报告年度、报告年度前一年</w:t>
      </w:r>
      <w:r>
        <w:rPr>
          <w:rFonts w:eastAsia="方正仿宋_GBK" w:hint="eastAsia"/>
          <w:color w:val="000000" w:themeColor="text1"/>
          <w:sz w:val="32"/>
          <w:szCs w:val="32"/>
        </w:rPr>
        <w:t>资产负债表、损益表和现金流量表（企业提供，集团公司采用合并报表）。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lastRenderedPageBreak/>
        <w:t>（二）</w:t>
      </w:r>
      <w:r>
        <w:rPr>
          <w:rFonts w:eastAsia="方正仿宋_GBK" w:hint="eastAsia"/>
          <w:b/>
          <w:bCs/>
          <w:color w:val="000000" w:themeColor="text1"/>
          <w:sz w:val="32"/>
          <w:szCs w:val="32"/>
        </w:rPr>
        <w:t>经审计</w:t>
      </w:r>
      <w:r>
        <w:rPr>
          <w:rFonts w:eastAsia="方正仿宋_GBK" w:hint="eastAsia"/>
          <w:color w:val="000000" w:themeColor="text1"/>
          <w:sz w:val="32"/>
          <w:szCs w:val="32"/>
        </w:rPr>
        <w:t>的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</w:t>
      </w:r>
      <w:r>
        <w:rPr>
          <w:rFonts w:eastAsia="方正仿宋_GBK" w:hint="eastAsia"/>
          <w:color w:val="000000" w:themeColor="text1"/>
          <w:sz w:val="32"/>
          <w:szCs w:val="32"/>
        </w:rPr>
        <w:t>企业研发经费支出证明材料（企业提供，集团公司采用合并报表）。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</w:t>
      </w:r>
      <w:r>
        <w:rPr>
          <w:rFonts w:eastAsia="方正仿宋_GBK" w:hint="eastAsia"/>
          <w:color w:val="000000" w:themeColor="text1"/>
          <w:sz w:val="32"/>
          <w:szCs w:val="32"/>
        </w:rPr>
        <w:t>工程研究中心科研经费收入统计情况及科研经费收入证明材料（高校院所提供）。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（四）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缴纳社保员工总人数证明材料（企业提供有关部门出具的证明材料，集团公司采用合并数据）。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（五）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工程研究中心拥有的研发设备情况及证明材料。企业提供所有单个设备原值</w:t>
      </w:r>
      <w:r>
        <w:rPr>
          <w:rFonts w:eastAsia="方正仿宋_GBK" w:hint="eastAsia"/>
          <w:color w:val="000000" w:themeColor="text1"/>
          <w:sz w:val="32"/>
          <w:szCs w:val="32"/>
        </w:rPr>
        <w:t>3</w:t>
      </w:r>
      <w:r>
        <w:rPr>
          <w:rFonts w:eastAsia="方正仿宋_GBK"/>
          <w:color w:val="000000" w:themeColor="text1"/>
          <w:sz w:val="32"/>
          <w:szCs w:val="32"/>
        </w:rPr>
        <w:t>0</w:t>
      </w:r>
      <w:r>
        <w:rPr>
          <w:rFonts w:eastAsia="方正仿宋_GBK" w:hint="eastAsia"/>
          <w:color w:val="000000" w:themeColor="text1"/>
          <w:sz w:val="32"/>
          <w:szCs w:val="32"/>
        </w:rPr>
        <w:t>万以上的购置发票（高校院所按单个设备原值</w:t>
      </w:r>
      <w:r>
        <w:rPr>
          <w:rFonts w:eastAsia="方正仿宋_GBK"/>
          <w:color w:val="000000" w:themeColor="text1"/>
          <w:sz w:val="32"/>
          <w:szCs w:val="32"/>
        </w:rPr>
        <w:t>50</w:t>
      </w:r>
      <w:r>
        <w:rPr>
          <w:rFonts w:eastAsia="方正仿宋_GBK" w:hint="eastAsia"/>
          <w:color w:val="000000" w:themeColor="text1"/>
          <w:sz w:val="32"/>
          <w:szCs w:val="32"/>
        </w:rPr>
        <w:t>万以上提供）。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（六）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工程研究中心拥有的研发场地情况及证明材料。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（七）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工程研究中心研发人员情况及证明材料。博士须提供博士学位证及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有效的专职（兼职）工作证明材料，学术与技术带头人须提供高级专家文件及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有效的专职（兼职）工作证明材料，专职研发人员提供</w:t>
      </w:r>
      <w:r>
        <w:rPr>
          <w:rFonts w:eastAsia="方正仿宋_GBK" w:hint="eastAsia"/>
          <w:b/>
          <w:bCs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color w:val="000000" w:themeColor="text1"/>
          <w:sz w:val="32"/>
          <w:szCs w:val="32"/>
        </w:rPr>
        <w:t>有效的全职证明材料。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（八）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在研科技项目情况及省部级以上项目立项证明材料。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（九）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拥有的全部有效授权专利情况及专利证书，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申请的专利情况及专利证书。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拥有的新产品新技术情况及证明材料、首台（套）重大技术装备情况及证明材料。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（十一）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销售新产品取得收入和利润情况及证明材料（企业提供）。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（十二）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主持（参与）制定的</w:t>
      </w:r>
      <w:r>
        <w:rPr>
          <w:rFonts w:eastAsia="方正仿宋_GBK" w:hint="eastAsia"/>
          <w:color w:val="000000" w:themeColor="text1"/>
          <w:sz w:val="32"/>
          <w:szCs w:val="32"/>
        </w:rPr>
        <w:lastRenderedPageBreak/>
        <w:t>目前仍有效执行的国际、国家与行业标准情况及证明材料。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（十三）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报告年度末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获得的国家科学技术进步奖、国家技术发明奖、国家自然科学奖、省或直辖市（自治区）设立并颁发的科学技术奖情况及证明材料。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（十四）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报告年度</w:t>
      </w:r>
      <w:r>
        <w:rPr>
          <w:rFonts w:eastAsia="方正仿宋_GBK" w:hint="eastAsia"/>
          <w:bCs/>
          <w:color w:val="000000" w:themeColor="text1"/>
          <w:sz w:val="32"/>
          <w:szCs w:val="32"/>
        </w:rPr>
        <w:t>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成果转移转化收入情况及收入到账证明材料（高校院所提供）。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（十五）营业执照或事业单位法人证书。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（十六）工程研究中心章程及管理制度文件、共建协议等。其中，共建协议须明确各方责任分工、科技成果所有权归属、签订日期及合作时长等必要内容。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（十七）如依托单位为央企下属企事业单位，须提供央企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层级</w:t>
      </w:r>
      <w:r>
        <w:rPr>
          <w:rFonts w:eastAsia="方正仿宋_GBK" w:hint="eastAsia"/>
          <w:color w:val="000000" w:themeColor="text1"/>
          <w:sz w:val="32"/>
          <w:szCs w:val="32"/>
        </w:rPr>
        <w:t>关系证明。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（十八）</w:t>
      </w:r>
      <w:r>
        <w:rPr>
          <w:rFonts w:eastAsia="方正仿宋_GBK" w:hint="eastAsia"/>
          <w:b/>
          <w:color w:val="000000" w:themeColor="text1"/>
          <w:sz w:val="32"/>
          <w:szCs w:val="32"/>
        </w:rPr>
        <w:t>市级工程研究中心认定批复文件</w:t>
      </w:r>
      <w:r>
        <w:rPr>
          <w:rFonts w:eastAsia="方正仿宋_GBK" w:hint="eastAsia"/>
          <w:color w:val="000000" w:themeColor="text1"/>
          <w:sz w:val="32"/>
          <w:szCs w:val="32"/>
        </w:rPr>
        <w:t>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（十九）其它相关证明材料。</w:t>
      </w:r>
    </w:p>
    <w:p w:rsidR="004D1876" w:rsidRDefault="004D1876" w:rsidP="004D1876">
      <w:pPr>
        <w:autoSpaceDE/>
        <w:snapToGrid w:val="0"/>
        <w:spacing w:line="520" w:lineRule="exact"/>
        <w:ind w:firstLineChars="200" w:firstLine="560"/>
        <w:jc w:val="both"/>
        <w:textAlignment w:val="baseline"/>
        <w:rPr>
          <w:rFonts w:eastAsia="方正仿宋_GBK"/>
          <w:color w:val="000000" w:themeColor="text1"/>
          <w:sz w:val="28"/>
          <w:szCs w:val="28"/>
        </w:rPr>
      </w:pPr>
    </w:p>
    <w:p w:rsidR="004D1876" w:rsidRDefault="004D1876" w:rsidP="004D1876">
      <w:pPr>
        <w:autoSpaceDE/>
        <w:snapToGrid w:val="0"/>
        <w:spacing w:line="520" w:lineRule="exact"/>
        <w:ind w:firstLineChars="200" w:firstLine="560"/>
        <w:jc w:val="both"/>
        <w:textAlignment w:val="baseline"/>
        <w:rPr>
          <w:rFonts w:eastAsia="方正仿宋_GBK"/>
          <w:color w:val="000000" w:themeColor="text1"/>
          <w:sz w:val="28"/>
          <w:szCs w:val="28"/>
        </w:rPr>
      </w:pPr>
    </w:p>
    <w:p w:rsidR="004D1876" w:rsidRDefault="004D1876" w:rsidP="004D1876">
      <w:pPr>
        <w:autoSpaceDE/>
        <w:snapToGrid w:val="0"/>
        <w:spacing w:line="520" w:lineRule="exact"/>
        <w:ind w:firstLineChars="200" w:firstLine="560"/>
        <w:jc w:val="both"/>
        <w:textAlignment w:val="baseline"/>
        <w:rPr>
          <w:rFonts w:eastAsia="方正仿宋_GBK"/>
          <w:color w:val="000000" w:themeColor="text1"/>
          <w:sz w:val="28"/>
          <w:szCs w:val="28"/>
        </w:rPr>
      </w:pPr>
    </w:p>
    <w:p w:rsidR="004D1876" w:rsidRDefault="004D1876" w:rsidP="004D1876">
      <w:pPr>
        <w:autoSpaceDE/>
        <w:snapToGrid w:val="0"/>
        <w:spacing w:line="520" w:lineRule="exact"/>
        <w:ind w:firstLineChars="200" w:firstLine="560"/>
        <w:jc w:val="both"/>
        <w:textAlignment w:val="baseline"/>
        <w:rPr>
          <w:rFonts w:eastAsia="方正仿宋_GBK"/>
          <w:color w:val="000000" w:themeColor="text1"/>
          <w:sz w:val="28"/>
          <w:szCs w:val="28"/>
        </w:rPr>
      </w:pPr>
    </w:p>
    <w:p w:rsidR="004D1876" w:rsidRDefault="004D1876">
      <w:bookmarkStart w:id="0" w:name="_GoBack"/>
      <w:bookmarkEnd w:id="0"/>
    </w:p>
    <w:p w:rsidR="004D1876" w:rsidRDefault="004D1876">
      <w:pPr>
        <w:rPr>
          <w:rFonts w:hint="eastAsia"/>
        </w:rPr>
      </w:pPr>
    </w:p>
    <w:sectPr w:rsidR="004D1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E83" w:rsidRDefault="00BF2E83" w:rsidP="004D1876">
      <w:r>
        <w:separator/>
      </w:r>
    </w:p>
  </w:endnote>
  <w:endnote w:type="continuationSeparator" w:id="0">
    <w:p w:rsidR="00BF2E83" w:rsidRDefault="00BF2E83" w:rsidP="004D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E83" w:rsidRDefault="00BF2E83" w:rsidP="004D1876">
      <w:r>
        <w:separator/>
      </w:r>
    </w:p>
  </w:footnote>
  <w:footnote w:type="continuationSeparator" w:id="0">
    <w:p w:rsidR="00BF2E83" w:rsidRDefault="00BF2E83" w:rsidP="004D1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AE"/>
    <w:rsid w:val="004D1360"/>
    <w:rsid w:val="004D1876"/>
    <w:rsid w:val="00BF2E83"/>
    <w:rsid w:val="00CB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3379A6-2F06-4F2B-BC0B-54D9D704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D187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187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18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1876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18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2024-04-03T07:13:00Z</dcterms:created>
  <dcterms:modified xsi:type="dcterms:W3CDTF">2024-04-03T07:13:00Z</dcterms:modified>
</cp:coreProperties>
</file>