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40"/>
          <w:lang w:val="en-US" w:eastAsia="zh-CN"/>
        </w:rPr>
      </w:pPr>
      <w:r>
        <w:rPr>
          <w:rFonts w:hint="eastAsia" w:ascii="方正黑体_GBK" w:hAnsi="方正黑体_GBK" w:eastAsia="方正黑体_GBK" w:cs="方正黑体_GBK"/>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0"/>
          <w:szCs w:val="40"/>
          <w:lang w:val="en-US" w:eastAsia="zh-CN"/>
        </w:rPr>
      </w:pPr>
      <w:r>
        <w:rPr>
          <w:rFonts w:hint="eastAsia" w:ascii="Times New Roman" w:hAnsi="Times New Roman" w:eastAsia="方正小标宋_GBK" w:cs="Times New Roman"/>
          <w:sz w:val="40"/>
          <w:szCs w:val="40"/>
          <w:lang w:val="en-US" w:eastAsia="zh-CN"/>
        </w:rPr>
        <w:t>2024年度</w:t>
      </w:r>
      <w:r>
        <w:rPr>
          <w:rFonts w:hint="default" w:ascii="Times New Roman" w:hAnsi="Times New Roman" w:eastAsia="方正小标宋_GBK" w:cs="Times New Roman"/>
          <w:sz w:val="40"/>
          <w:szCs w:val="40"/>
          <w:lang w:val="en-US" w:eastAsia="zh-CN"/>
        </w:rPr>
        <w:t>江宁区关键核心技术攻关“揭榜挂帅”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0"/>
          <w:szCs w:val="40"/>
          <w:lang w:val="en-US" w:eastAsia="zh-CN"/>
        </w:rPr>
      </w:pPr>
      <w:r>
        <w:rPr>
          <w:rFonts w:hint="default" w:ascii="Times New Roman" w:hAnsi="Times New Roman" w:eastAsia="方正小标宋_GBK" w:cs="Times New Roman"/>
          <w:sz w:val="40"/>
          <w:szCs w:val="40"/>
          <w:lang w:val="en-US" w:eastAsia="zh-CN"/>
        </w:rPr>
        <w:t>项目需求榜单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36" w:firstLineChars="200"/>
        <w:textAlignment w:val="auto"/>
        <w:rPr>
          <w:rFonts w:hint="default" w:ascii="Times New Roman" w:hAnsi="Times New Roman" w:eastAsia="方正黑体_GBK" w:cs="Times New Roman"/>
          <w:spacing w:val="-6"/>
          <w:sz w:val="28"/>
          <w:szCs w:val="28"/>
          <w:lang w:val="en-US" w:eastAsia="zh-CN"/>
        </w:rPr>
      </w:pPr>
      <w:r>
        <w:rPr>
          <w:rFonts w:hint="default" w:ascii="Times New Roman" w:hAnsi="Times New Roman" w:eastAsia="方正黑体_GBK" w:cs="Times New Roman"/>
          <w:spacing w:val="-6"/>
          <w:sz w:val="28"/>
          <w:szCs w:val="28"/>
          <w:lang w:val="en-US" w:eastAsia="zh-CN"/>
        </w:rPr>
        <w:t>集成电路BGA封装3D视觉检测装备研发与应用</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突破传统机器视觉算法性能差和现有深度学习训练平台针对性不足，集成电路领域缺陷标注成本高、算法存在过拟合和泛化能力不足，现有深度学习算法在集成电路领域高精密检测方面适应性较差和性能不足等难题，以“智能装备+一体化AI训练平台”模式，开发高精度集成电路BGA封装3D视觉检测装备并实现应用，完成以下几点技术攻关：1.攻关研发集成电路BGA封装专用AI深度学习训练平台，开发专用深度学习算法</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2.研发专用小样本深度学习算法框架，集成化小目标FSCIL/少样本FSOD增量学习解决方案，同时解决小目标和少样本的实际检测问题</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3.研究机械结构调度最优化问题，攻关多光源控制最优调度与边缘计算图像预处理技术，保证高速高精度检测。</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集成电路BGA封装专用AI深度学习训练平台，支持深度学习算法部署，模型部署，支持云部署/本地部署模式，支持存储芯片、逻辑芯片、CPU等产品缺陷标注与模型训练，支持并行化策略训练；3D缺陷检测精度达到4μm，缺陷检出率能够达到99.9%</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设备检测精度（x轴）：≥4μm；检测精度（z轴）：≥4μm；支持二次开发（指采集设备有完整的3D和2D数据输出接口，可以进行定制二次开发）；3D数据中有彩色超清2D数据</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翘曲量最小识别精度：4μm；锡球高/球宽最小识别精度：4μm；锡球最小缺失量检查精度：20%；检测速度：30000UPH</w:t>
      </w:r>
      <w:r>
        <w:rPr>
          <w:rFonts w:hint="eastAsia" w:ascii="Times New Roman" w:hAnsi="Times New Roman" w:eastAsia="方正仿宋_GBK"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2.申请发明专利3项以上，发表相关学术论文1篇以上</w:t>
      </w:r>
      <w:r>
        <w:rPr>
          <w:rFonts w:hint="eastAsia" w:ascii="Times New Roman" w:hAnsi="Times New Roman" w:eastAsia="方正仿宋_GBK" w:cs="Times New Roman"/>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eastAsia" w:ascii="Times New Roman" w:hAnsi="Times New Roman" w:eastAsia="方正仿宋_GBK" w:cs="Times New Roman"/>
          <w:sz w:val="28"/>
          <w:szCs w:val="28"/>
          <w:lang w:val="en-US" w:eastAsia="zh-CN"/>
        </w:rPr>
        <w:t>1050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8"/>
          <w:szCs w:val="28"/>
          <w:lang w:val="en-US" w:eastAsia="zh-CN"/>
        </w:rPr>
      </w:pP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三维荧光光谱检测技术成套装备国产化开发</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维荧光光谱检测技术成套装备基于水质指纹污染溯源技术自主研制新型水环境智慧监管仪器，解决水污染防治和水环境监管领域溯源难、溯源慢的技术难题。对三维荧光光谱检测技术成套装备进行软硬件开发，实现软硬件国产化替代，达到国内领先水平。需求主要包括下面几个方面：1、光谱数据处理技术开发：光谱数据处理对于获取准确、可靠的荧光光谱信息至关重要，包括信号去噪、背景扣除、平滑处理等步骤，以提高光谱数据的质量和稳定性。此外，还需要利用数学算法和模型对光谱数据进行特征提取和量化分析，实现对待测物质的定性和定量检测。2、激发-发射矩阵构建开发：通过构建激发-发射矩阵EEM，直观展示不同激发波长和发射波长下荧光强度的分布情况。助力发现和分析荧光光谱中的特征峰和潜在组分，为物质识别和分析提供有力支持。3、三维投影图表示开发：采用三维投影图表示方法。通过将激发波长、发射波长和荧光强度等参数映射到三维空间中，可以形成具有立体感的荧光光谱图像。助力揭示荧光光谱的复杂结构和内在规律。4、控制与通信技术开发：在三维荧光光谱检测过程中，控制与通信技术用于实现设备的自动化控制、数据采集和传输等功能。通过精确控制设备的工作状态和参数设置，可以确保荧光光谱检测的准确性和稳定性。同时，利用现代通信技术，可以将检测数据实时传输至远程服务器或数据中心，便于数据的共享和深入分析。</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1.测量范围：0-9999（水纹强度）；水质荧光指纹峰强度重复性：相对标准偏差≤10%；信噪比：S/N（P-P）≥250；单个测试周期时间：≤30分钟；单色器狭缝分辨率（简称分辨率）：≤2nm；功耗：工作功率≤1000W</w:t>
      </w:r>
      <w:r>
        <w:rPr>
          <w:rFonts w:hint="eastAsia" w:ascii="Times New Roman" w:hAnsi="Times New Roman" w:eastAsia="方正仿宋_GBK"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2.申请发明专利6件；获得实用新型专利6件授权；发表核心论文5-8篇；制定企业标准1件</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eastAsia" w:ascii="Times New Roman" w:hAnsi="Times New Roman" w:eastAsia="方正仿宋_GBK" w:cs="Times New Roman"/>
          <w:sz w:val="28"/>
          <w:szCs w:val="28"/>
          <w:lang w:val="en-US" w:eastAsia="zh-CN"/>
        </w:rPr>
        <w:t>310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2年</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智能化实时运动控制平台关键技术研发及应用</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实时运动控制器主要以倍福、Codesys等进口产品为主的现状，研发基于EtherCAT的实时稳定控制平台，并集成软PLC及运动控制功能，实现控制平台国产化要求。研发视觉检测功能模块、机器学习功能模块、参数辨识等功能模块，智能化平台可以通过实时总线进行数据采集和任务调度，实现系统较好的扩展性、兼容性及实时性</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研发外设的同步控制技术，解决高度集成情况下的实时任务调度技术难点。</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系统的实时任务调度时钟抖动小于10us；ethercat分布实时时钟抖动小于0.1us；运动控制最小插补周期250us；在1ms插补周期内，满足不低于8通道32轴（每个通道4轴）的插补计算和实时通讯；HMI模块软件具跨平台功能，同时兼容linux/windows双平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视觉识别和控制：静态：5um识别和定位精度；动态：在线速度15米/分钟条件下，达到500um的识别和定位精度</w:t>
      </w:r>
      <w:r>
        <w:rPr>
          <w:rFonts w:hint="eastAsia" w:ascii="Times New Roman" w:hAnsi="Times New Roman" w:eastAsia="方正仿宋_GBK"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2.申请发明专利4项以上，授权1项以上；发表软著3项以上</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发表相关学术论文1篇以上。</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500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：2年</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大型重载滚珠丝杠副寿命试验专用装置研发与应用</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针对目前国内大多数滚珠丝杠副试验装置缺乏合理的轴向加载装置来模拟滚珠丝杠副寿命试验所需的实际加载工况的问题，研发大型重载滚珠丝杠副寿命试验专用装置，实现了重载滚珠丝杠副在实际工况下的寿命试验，推动了滚珠丝杠副的技术迭代和产品质量提升。主要内容如下：</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针对数控机床等设备在工作过程中承受的重载和速度变化，引入了可模拟长行程轴向往复受力的封闭力流等效加载技术，以确保测试装备能够准确模拟实际工作条件；</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针对注塑机、弯板机、大型龙门机床等设备所使用的滚动功能部件，设计适用于狭小空间的双螺母对称内力加载和丝杠逆传动轴向可控加载机构，确保了测试的可靠性和准确性，同时解决了多根样品单次试验中可同时模拟重载低速、轻载高速、交变载荷等多种复杂工况的可控加载难题，以确保测试结果更具代表性；</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设计制造重载滚珠丝杠副寿命试验台，以验证其在极端条件下的耐久性和可靠性，为高端制造装备的设计和使用提供更为可靠的技术支持。</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1.满足公称直径Φ50-Φ125、导程4mm-50mm的滚珠丝杠副的寿命测试</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被测丝杠运行最高转速 800RPM</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被测丝杠轴向最大加载力300kN，加载精度不得大于±5%</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力传感器量程 30T，测量误差不得大于±0.5%FS</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温度传感器量程 0~100℃</w:t>
      </w:r>
      <w:r>
        <w:rPr>
          <w:rFonts w:hint="eastAsia" w:ascii="Times New Roman" w:hAnsi="Times New Roman" w:eastAsia="方正仿宋_GBK"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2.申请项目相关发明专利1项。</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300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：2年</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六维力控多工位IT产品抛光打磨专机研发</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IT产品外壳在现有打磨抛光过程中打磨抛光后产品的光洁度、平整度等指标不满足设计要求的问题，研究高刚度六维力传感器技术、多维力高精度动态感知技术、高頻高带宽力控位置微调技术、耗材磨损度自评估技术等关键技术，开发六维力控多工位IT产品抛光打磨专机，实现打磨抛光过程中基于精准力反馈的实时位置微调，推动IT产品全周期的自动化改造和智能化升级。</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1.力/力矩感知维度不小于六维</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力感知静态精度优于±0.5N/0.05Nm</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力感知动态精度优于±3N/0.5Nm</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力控位置微调自由度不少于3个</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位置微调幅度不小于2mm</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位置微调精度优于±0.02mm</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力控频率不低于500Hz</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具备打磨耗材损耗估计能力。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2.发表EI/SCI论文不少于1篇</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申请/授权发明专利不少于3篇。</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300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：2年</w:t>
      </w: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超宽带超大反射角光学真空增透镀膜技术研发</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目前常规的仪器光学增透镀膜技术存在：适应带宽窄，反射角小，适应复杂面形均匀性不好，对于折射率超大或超小的光学玻璃材料适应性差等卡滞光学制造水平提升的瓶颈问题，严重制约了国产光学仪器产品在性能上与进口仪器的竞争，在光学增透镀膜技术如下技术要点的突破，也是突破目前国外先进光学仪器产品对国内应用市场卡脖子的瓶颈的重要环节之一。 1. 适应近紫外到近红外的超宽工作波段的覆盖</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2. 可以覆盖大于20度入射角的反射角</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3. 可以适应&lt; 1.2 和接近2 折射率光学玻璃材料的增透镀膜</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4. 可以适应&lt;1mm  球径凹面，和超半球等复杂球面的增透镀膜均匀性。</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针对材料折射率在1.2-2.0 的不同光学玻璃材料透镜；针对R 0.5-R∞ 的球面/非球面凸透镜和凹透镜；</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镀膜面反射率（@0-20度入射角）：@ 360-400nm:平均反射率&lt;1% ，最大反射率&lt;1.5%；@400-750nm:平均反射率&lt;0.5%，最大反射率&lt;0.8%；@ 750-1064nm：平均反射率&lt;1%，最大反射率&lt;1.8%；</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允许最大反射率超差带宽：40nm，超差许可&lt; 50%</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1.5 20-40度镀膜面反射率差：&lt; 20%</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膜后外观质量：高于40-60 水平</w:t>
      </w:r>
      <w:r>
        <w:rPr>
          <w:rFonts w:hint="eastAsia" w:ascii="Times New Roman" w:hAnsi="Times New Roman" w:eastAsia="方正仿宋_GBK" w:cs="Times New Roman"/>
          <w:sz w:val="28"/>
          <w:szCs w:val="28"/>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膜层耐受水平（对于大反射角工艺，可以放松，放松指标待考）</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水煮及胶带膜层剥离实验</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纯净水维持煮沸，放入测试样件，维持1小时，捞出样件，使用LP-14胶带，贴敷样件膜层表面，45度角迅速拉起，重复3次，按照外样件图纸外观标准检测合格</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盐水浸泡实验</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5% 浓度生理盐水，室温下浸没样件，浸泡24小时，捞出后，按照图纸外观要求检测，合格</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橡皮推膜测试</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采用中华HB带橡皮铅笔的橡皮头，压住镀膜表面，铅笔与膜面呈45度角，下压压力1Kg+/-10%，往复推拉1000次，完成后，允许镀膜表面出现轻微擦痕，但是不允许膜层剥落。</w:t>
      </w:r>
    </w:p>
    <w:p>
      <w:pPr>
        <w:keepNext w:val="0"/>
        <w:keepLines w:val="0"/>
        <w:pageBreakBefore w:val="0"/>
        <w:widowControl w:val="0"/>
        <w:numPr>
          <w:ilvl w:val="0"/>
          <w:numId w:val="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申请发明专利</w:t>
      </w:r>
      <w:r>
        <w:rPr>
          <w:rFonts w:hint="eastAsia"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lang w:val="en-US" w:eastAsia="zh-CN"/>
        </w:rPr>
        <w:t>项以上，发表相关学术论文</w:t>
      </w:r>
      <w:r>
        <w:rPr>
          <w:rFonts w:hint="eastAsia" w:ascii="Times New Roman" w:hAnsi="Times New Roman" w:eastAsia="方正仿宋_GBK" w:cs="Times New Roman"/>
          <w:sz w:val="28"/>
          <w:szCs w:val="28"/>
          <w:highlight w:val="none"/>
          <w:lang w:val="en-US" w:eastAsia="zh-CN"/>
        </w:rPr>
        <w:t>2</w:t>
      </w:r>
      <w:r>
        <w:rPr>
          <w:rFonts w:hint="default" w:ascii="Times New Roman" w:hAnsi="Times New Roman" w:eastAsia="方正仿宋_GBK" w:cs="Times New Roman"/>
          <w:sz w:val="28"/>
          <w:szCs w:val="28"/>
          <w:highlight w:val="none"/>
          <w:lang w:val="en-US" w:eastAsia="zh-CN"/>
        </w:rPr>
        <w:t>篇以上</w:t>
      </w:r>
      <w:r>
        <w:rPr>
          <w:rFonts w:hint="eastAsia" w:ascii="Times New Roman" w:hAnsi="Times New Roman" w:eastAsia="方正仿宋_GBK" w:cs="Times New Roman"/>
          <w:sz w:val="28"/>
          <w:szCs w:val="28"/>
          <w:highlight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230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高精度流体罐装计量装置的研发与应用</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针对如何实现流体罐装高精度计量、如何达成计量速度和精度的平衡、如何适应不同介质的计量等难题，研究开发高精度流体罐装计量装置，实现以下几个方面的提升：</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确保流体罐装的高精度计量。精度控制涉及到流体的物理特性、流动状态、环境温度和压力等多个因素，提高装置计量在这些因素变化下的抗干扰性</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在保证高精度的同时，提高罐装速度，实现高效率的罐装作业</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提高流体测量的适应性，使得一台装置可同时适应多种流体的高精度计量</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实现罐装计量的自动化与智能化，符合现代化智能制造的要求。</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1.精度标准：高精度流体罐装计量装置应达到国际先进水平，罐装误差率控制在±0.5%以内</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稳定性：设备在连续工作24小时内，每分钟可完成1000次罐装情况下性能波动不得超过±0.2%</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流速可到达0-10m/s(灌装应用0-1.2m/s)</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误差可控制在：v≤ 1 m/s: ±0.4%的测量值</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v&gt;1 m/s: +0.5%的测量值</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重复性误差可控制在：灌装时间 1.5...3 s: &lt; 0.6%</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灌装时间3...5s: &lt; 0.3%</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灌装时间&gt;5s: &lt; 0.15%</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2.申请国内外专利不少于5项</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 xml:space="preserve">发表至少3篇与高精度流体罐装计量装置相关的学术论文，其中至少1篇被科技核心期刊收录。   </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550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高性能软磁合金宽幅带材研发与应用</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针对目前软磁合金宽幅带材纯净度低、性能不稳定、热处理后难加工等诸多问题，研究高性能软磁合金宽幅带材实现以下几方面的提升：</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val="en-US" w:eastAsia="zh-CN"/>
        </w:rPr>
        <w:t>高饱和磁感应强度：优化后的高性能软磁合金宽幅带材具有更高的饱和磁感应强度，可以提高设备的功率密度和运行效率</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良好的磁稳定性和耐高温性能：优化后的材料具有良好的磁稳定性和耐高温性能，可以在高温和强磁场环境下保持稳定的磁性能，适用于各种高温和高磁场强度的应用场景</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高机械性能：通过优化制备工艺和成分控制，可以提高软磁合金宽幅带材的机械性能，如抗拉强度、延伸率等，以满足各种复杂应用场景的需求。</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制备软磁合金的尺寸:厚度0.05-1.0mm，宽度400-1200mm，卷重0.5-5t;成分中夹杂物级别≤2.5级，气体元素含量N、H、O≤50ppm；高温退火热处理完成后品粒尺寸≥200μm；磁性能:批量化实现退火热处理完成后直流磁性能在0.08A/m磁场强度中的码导率μ0.08＞100mH/m；最大磁导率μm&gt;312.5mH/m；矫顽力（在饱和磁感应强度下）Hc≤0.8A/m；饱和磁感应强度Bs&gt;0.7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2.主导制定标准不少于1项</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新增知识产权数量不低于10件，其中发明专利不低于2件。</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1000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1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p>
    <w:p>
      <w:pPr>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基于流体的结构设计和流动特性在自流平中的应用</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建立自流平体系中流体结构与流体流动相互作用的效应对自流平流动性能的影响机制，包括不同胶凝材料、不同功能性添加剂、水化速率、凝结时间等对自流平流动性能的影响；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基于不同的基层种类和性能，基层种类包括混凝土、保温隔声系统、地暖回填系统等，基层性能包括吸水率、表面含水率、孔隙率、表面粗糙度等，设计与自流平的流动度、流体密度、流体粘度相匹配的产品体系。</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1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30min流动度损失≤3mm；单位面积流平时间≤60s；收缩率≤0.03%；平整度±2mm；不分层、不泌水、不开裂；针对不同应用场景，设计完整的自流平找平方案。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申请发明专利2项；申请实用新型专利2项。</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300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1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核电供热长输管网关键技术研发与产业化</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新型硬质无机保温材料研发：针对软质保温材料保温性能衰退、耐久性不足等缺点，开发新型硬质无机保温材料，提高长输管网的热工保温特性及力学性能。新型硬质无机保温材料配方：通过建立数据库定量分析不同发泡剂及其配比对保温材料的影响，确定合理的硬质无机保温材料配发；新型硬质无机保温材料生产工艺：严格遵循工业化生产要求，分别小试、中试、大试等流程，确定可靠的硬质无机保温材料生产工艺，具备规模化生产条件。</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.新型预制保温技术研发：针对长输管网温度、流量分布特点，研发不同工况下的保温结构、保温材料厚度； 结合保温结构形式、保温材料厚度等，开展长输管网的热工、力学性能耦合计算，摒弃传统管网的单一保温结构，根据管网工况不同设计不同的保温结构。针对预制保温管壳的结构特点，研发预制保温管壳的接缝保温工艺，避免预制管壳接缝处的热量流失。结构设计及接缝保温工艺研发：考虑管壳预制的生产方式，研发有效的接缝保温工艺，开发专用3D设计软件进行管壳结构设计，减少管壳热量流失的同时，提高保温层的整体力学性能。</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供热长输管网智能监测系统：采用传感器优化布置理论，研究分析核电供热长输管网的网名拓扑结构，建立具有高灵敏度的长输管网传感器布置方法。提高长输管网信号采集及传输效率，开发传感器节点嵌入式边缘计算技术，通过工业5G网络传送长输管网的运行状态信息，建立具有自感知、智能诊断及预警的长输管网监测系统</w:t>
      </w:r>
    </w:p>
    <w:p>
      <w:pPr>
        <w:keepNext w:val="0"/>
        <w:keepLines w:val="0"/>
        <w:pageBreakBefore w:val="0"/>
        <w:widowControl w:val="0"/>
        <w:numPr>
          <w:ilvl w:val="0"/>
          <w:numId w:val="1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产业化应用研究：开发核电供热管网用保温管壳专用生产设备，实现保温管壳的智能、柔性化高效生产。编制保温管壳的生产工艺，确保管壳的材料稳定性达到管网整体寿命要求，同时保证管壳的外形尺寸精度，满足预制装配及整体性要求。</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新型硬质无机保温预制管使用寿命：≧30年；</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供热长输管网智慧监测系统： 状态安全预警可靠度：＞99%</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状态安全预警误报率：＜1%。</w:t>
      </w:r>
    </w:p>
    <w:p>
      <w:pPr>
        <w:keepNext w:val="0"/>
        <w:keepLines w:val="0"/>
        <w:pageBreakBefore w:val="0"/>
        <w:widowControl w:val="0"/>
        <w:numPr>
          <w:ilvl w:val="0"/>
          <w:numId w:val="1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发表相关论文2篇，申请发明专利2项，实用新型专利2项，软件著作权登记2项</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制定企业标准/规范2项，牵头或者参与制定团体标准1项。</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600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1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lang w:val="en-US" w:eastAsia="zh-CN"/>
        </w:rPr>
        <w:t>年</w:t>
      </w:r>
    </w:p>
    <w:p>
      <w:pP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有机污染场地土壤催化热脱附修复关键技术研发及应用</w:t>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现有热脱附差技术装备存在运行能耗高、处理能力低、系统可靠性等问题，研究有机污染物在固-液-气界面行为及其关键影响因素，构建污染物脱附效率、处理条件、污染物特征及土壤性质间的多元定量/半定量关系，形成热脱附技术操作图谱，实现脱附效果可视化预测，突破现有技术仅靠经验摸索判断难以定量衡算的困境；开发出工作温度在100~400℃的热脱附催化剂，有效降低热脱附工作温度、节约能耗，工作能耗由3710 MJ/t降至不高于2900 MJ/t，并形成溶剂诱导-催化热脱附技术工艺；研制出新型外热回转式催化热脱附土壤修复工程样机，进一步提升处理效率，单套处理规模由2~3 t/h提升至6 t/h，污染物去除率高于99%；整体采用撬装设计，集成尾气、废水处理、自动控制等模块，实现装备快速移动，适用于有机污染场地快速处置需求，实现更广泛的典型应用场景示范应用。</w:t>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17"/>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形成溶剂诱导-催化热脱附技术工艺包1套，研制出一种温度在100~400℃的热脱附催化剂</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研制新型外热回转式催化热脱附土壤修复工程样机1套，包含尾气、废水处理、自动控制等模块的撬装式装置，实现装备可反复利用和快速移动，适用于各种有机污染场地快速处置需求</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选取典型场地土壤进行示范，处理规模6t/h，能耗不高于2900MJ/t，污染物去除率高于99%。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2.发表论文5篇；申请专利6件，其中申请发明专利3项；参编标准1项</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1000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1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8"/>
          <w:szCs w:val="28"/>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高性能Modelica自研编译器的研发</w:t>
      </w:r>
    </w:p>
    <w:p>
      <w:pPr>
        <w:keepNext w:val="0"/>
        <w:keepLines w:val="0"/>
        <w:pageBreakBefore w:val="0"/>
        <w:widowControl w:val="0"/>
        <w:numPr>
          <w:ilvl w:val="0"/>
          <w:numId w:val="1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当前市场上的Modelica编译器多数依赖于国外技术，商业授权成本高、技术自主可控方面的风险等问题，通过自主研发高性能的Modelica编译器，突破国外技术的限制，降低研发和使用成本，确保技术的自主可控，为国内相关领域应用层开发提供一个高效、可靠的Modelica编译核心。推动Modelica在国内的推广和应用，加速国内相关行业的技术创新与发展，提升我国在多物理建模领域建模仿真工具研发的国际竞争力。具体解决如下几个问题：1.本项目需要实现对Modelica模型的快速解析、优化模型的依赖关系处理以及高效的代码生成技术，以显著提升编译速度</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2.基于对开源编译器仿真性能的深入分析，开发先进的仿真求解算法和优化技术，如自适应步长控制、稀疏矩阵处理、并行仿真等，以提高仿真的效率和稳定性，尤其是在处理非线性、大规模系统并行仿真时的性能</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3.相较于目前商业/开源编译器，开发更为友好和完备的解析、编译API和强大的模型调试工具，支持包括但不限于图形化模型编辑、断点设置、变量监视和性能分析等功能，为开发本地和云端Modelica建模仿真平台提供有力支撑。</w:t>
      </w:r>
    </w:p>
    <w:p>
      <w:pPr>
        <w:keepNext w:val="0"/>
        <w:keepLines w:val="0"/>
        <w:pageBreakBefore w:val="0"/>
        <w:widowControl w:val="0"/>
        <w:numPr>
          <w:ilvl w:val="0"/>
          <w:numId w:val="1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编译效率：相比当前国内市场上的Modelica编译器，新开发的编译器在编译大型复杂模型（方程数&gt;5000，线性及非线性高度混合模型）的效率上提升10%~30%。</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用户体验：提供完备的原生API接口、多语言SDK开发包及丰富的使用案例，支持模型的可视化编辑、仿真调试等功能，用户满意度达到90%以上。</w:t>
      </w:r>
    </w:p>
    <w:p>
      <w:pPr>
        <w:keepNext w:val="0"/>
        <w:keepLines w:val="0"/>
        <w:pageBreakBefore w:val="0"/>
        <w:widowControl w:val="0"/>
        <w:numPr>
          <w:ilvl w:val="0"/>
          <w:numId w:val="19"/>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跨平台兼容性：确保软件在Windows、Linux、等主流操作系统上的运行，兼容性达到100%。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2.申请项目相关知识产权5项，其中发明专利3项</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1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自主可控工业智能装备安全编程平台研发与应用</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当前我国燃气、供热、水务等关键领域工控编程平台仍以国外产品为主，面临未知后门安全威胁和潜在的网络安全风险，研究基于国产密码的安全编程、安全协议栈构建、跨平台安全编译、适配工业嵌入式平台的轻量级安全防护等关键技术，开发一款工控编程和信息安全防护深度融合的工业智能装备安全编程平台，解决传统工业控制系统依赖于国外产品、传统“外挂补丁式”安全防护机制防护响应速度慢、针对性不足等问题，实现工控关键装备和基础软件的安全自主可控，并在燃气、供热、水务等领域进行应用验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揭榜方需具有较强的IEC61131-3编程软件或PLC/RTU工业控制器的研发实力、科研/生产条件等。</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编程语言：支持梯形图LD、功能块图FBD、顺序功能图SFC、结构化文本ST、指令表IL 5种IEC61131-3标准语言和高级语言C/C++、python，支持C/C++、python代码静态联编集成到运行时中，支持引入第三方成熟的C/C++、python语言算法，支持自定义算法工具库，支持通过IEC61131-3语言调用上述高级语言程序；</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通讯协议：支持Modbus TCP、Modbus RTU、EtherCAT、OPC UA、Powerlink、MQTT、IEC61850、IEC104、DLT645、DLT698等不少于10种通讯协议，支持基于SM2/SM3/SM4等商用密码算法的身份认证、通信加密和数据完整性保护；</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集成开发环境安全防护：支持基于SM2/SM3/SM4国密算法的加密、身份认证、访问控制、安全通信等功能，源代码检测效率不低于100万行/小时，支持边缘通信防护、威胁识别、攻击防护等策略库不少于20类；</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运行时环境安全防护：支持基于SM1/SM2/SM3/SM4国密算法的可信计算，安全事件响应时间（攻击事件发现到报警/处置）小于200毫秒；</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指令平台：支持X86、X64、ARMv7 Cortex-M/A、ARMv8 Cortex-A、 RISC-V等5种以上；</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信创适配：集成开发环境至少适配飞腾、海光、兆芯等3种国产CPU和统信、中标麒麟、银河麒麟等3种国产服务器操作系统，运行时环境至少适配飞腾、瑞芯微等2种国产嵌入式CPU和麒麟、openEuler等2种国产嵌入式操作系统。</w:t>
      </w:r>
    </w:p>
    <w:p>
      <w:pPr>
        <w:keepNext w:val="0"/>
        <w:keepLines w:val="0"/>
        <w:pageBreakBefore w:val="0"/>
        <w:widowControl w:val="0"/>
        <w:numPr>
          <w:ilvl w:val="0"/>
          <w:numId w:val="2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申请发明专利4项；申请软件著作权2项。</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300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2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ICV （智能网联车）安全合规检测平台建设服务项目</w:t>
      </w:r>
    </w:p>
    <w:p>
      <w:pPr>
        <w:keepNext w:val="0"/>
        <w:keepLines w:val="0"/>
        <w:pageBreakBefore w:val="0"/>
        <w:widowControl w:val="0"/>
        <w:numPr>
          <w:ilvl w:val="0"/>
          <w:numId w:val="2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当前车载信息安全检测流程复杂、效率低下以及缺乏标准化攻防测试体系的问题，本项目致力于研发一款集成化、智能化的车载信息安全检测及攻防演练平台。该平台将创新性地集成先进的攻防测试工具和自动化技术，整合攻防演练平台，实现以下几方面的提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 快速高效的检测和评估</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利用ICV攻防测试工具，可视化展示系统积累的测试用例及自动化工具，便于用户直观地关注项目进度和结果</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平台通过简单的界面交互，使检测人员能够快速高效地完成车载设备各项攻防测试</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2. 全面的测试支撑能力</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采用SaaS架构，提供第三方企业的接入，并实现精细化的权限控制</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提供硬件、固件、车内网络、无线通信、TSP、移动APP全覆盖的测试支撑能力</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3. 专业的安全风险评估</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针对检测结果进行专业的安全风险评估，形成详细的检测报告，帮助客户快速完成标准化的汽车信息安全攻防检测能力建设</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4. 智能化的攻防演练平台</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提供包含教学实训、安全评估、防御训练和应急处置等场景的攻防演练平台，帮助客户安全防护和应急响应能力</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提供快速高效的场景构建能力，多维数据的动态采集和实时分析能力，以及安全效能的智慧分析能力</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5. 丰富的攻防知识库</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平台积累并管理ICV信息安全法规与标准、ICV测试用例、自动化测试工具及漏洞信息等，建立丰富的攻防知识库，具备对外经验输出的能力</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6. 标准化的项目管理体系</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平台形成标准化的ICV测试项目管理体系，通过项目管理工具实现测试用例的积累和复用，提升测试效率和效果。</w:t>
      </w:r>
    </w:p>
    <w:p>
      <w:pPr>
        <w:keepNext w:val="0"/>
        <w:keepLines w:val="0"/>
        <w:pageBreakBefore w:val="0"/>
        <w:widowControl w:val="0"/>
        <w:numPr>
          <w:ilvl w:val="0"/>
          <w:numId w:val="2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2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系统性能指标：系统响应时间：平均页面加载时间应该在2秒以内</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系统吞吐量：系统应支持每秒处理1000个请求</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系统稳定性：系统可用性目标为99.9%。</w:t>
      </w:r>
    </w:p>
    <w:p>
      <w:pPr>
        <w:keepNext w:val="0"/>
        <w:keepLines w:val="0"/>
        <w:pageBreakBefore w:val="0"/>
        <w:widowControl w:val="0"/>
        <w:numPr>
          <w:ilvl w:val="0"/>
          <w:numId w:val="2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系统安全性指标：访问控制：系统应实现基于角色的访问控制，包括用户认证和授权机制</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漏洞修复时间：系统漏洞发现后，有对应人员在48小时内修复。</w:t>
      </w:r>
    </w:p>
    <w:p>
      <w:pPr>
        <w:keepNext w:val="0"/>
        <w:keepLines w:val="0"/>
        <w:pageBreakBefore w:val="0"/>
        <w:widowControl w:val="0"/>
        <w:numPr>
          <w:ilvl w:val="0"/>
          <w:numId w:val="2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系统功能性指标：功能完整性：系统应包含完整的功能模块，涵盖标准用例管理、解决方案管理、会员管理等功能</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用户友好性：系统提供图形化界面便于使用者操作</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模块化和可扩展性：系统应具备模块化设计和可扩展性，方便新增功能和适应未来需求变化。</w:t>
      </w:r>
    </w:p>
    <w:p>
      <w:pPr>
        <w:keepNext w:val="0"/>
        <w:keepLines w:val="0"/>
        <w:pageBreakBefore w:val="0"/>
        <w:widowControl w:val="0"/>
        <w:numPr>
          <w:ilvl w:val="0"/>
          <w:numId w:val="2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系统技术支持与维护指标：文档和帮助文档：系统应提供完善的文档和帮助文档，帮助用户更好地使用系统和解决问题</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系统升级：提供开放接口，可进行功能扩展及改造</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技术支持服务：提供及时有效的技术支持服务，包括在线支持、电话支持等，确保用户在使用过程中遇到问题能够得到及时解决。</w:t>
      </w:r>
    </w:p>
    <w:p>
      <w:pPr>
        <w:keepNext w:val="0"/>
        <w:keepLines w:val="0"/>
        <w:pageBreakBefore w:val="0"/>
        <w:widowControl w:val="0"/>
        <w:numPr>
          <w:ilvl w:val="0"/>
          <w:numId w:val="2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申请知识产权4项，其中发明专利1项，软著3项。</w:t>
      </w:r>
    </w:p>
    <w:p>
      <w:pPr>
        <w:keepNext w:val="0"/>
        <w:keepLines w:val="0"/>
        <w:pageBreakBefore w:val="0"/>
        <w:widowControl w:val="0"/>
        <w:numPr>
          <w:ilvl w:val="0"/>
          <w:numId w:val="2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1000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2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面向智能制造在线检测与分析的AI-3D显微视觉系统关键技术的研发与应用</w:t>
      </w:r>
    </w:p>
    <w:p>
      <w:pPr>
        <w:keepNext w:val="0"/>
        <w:keepLines w:val="0"/>
        <w:pageBreakBefore w:val="0"/>
        <w:widowControl w:val="0"/>
        <w:numPr>
          <w:ilvl w:val="0"/>
          <w:numId w:val="2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 针对传统光学成像系统在设计过程中，受制于光学衍射极限原理，而无法同时兼顾景深、分辨率、视野和变倍比的难题，通过结合AI辅助的景深融合技术及光学信号处理方法，实现同时获取大景深、高分辨率、宽视野和大变倍比的动态图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 针对传统AI模型需要解析海量样本全幅图像信息，导致训练样本量大、时间长、精准度低的问题，通过开发出一套局部重点识别先行，针对性实施训练的新型AI模型，实现AI模型仅需小样本量，即可快速、高精准地完成训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 针对传统LED光源的功能单一、性能与稳定性低，制约高质量显微成像的难题，通过使用新型低功耗、高稳定性发光材料，自研微秒级多通道控制器，设计全新的照明系统，实现照明系统同时具备多颜色通道、多照明分区、低功耗、高照度、高均匀性且范围可调、色温可调的功能，保障高质量三维显微图像的获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4. 针对在工业产线实际使用场景中，会存在外界环境的光、电、机械、人为等干扰，直接影响成像质量及识别精准度的难题，通过开发出单目3D多聚焦成像、高动态范围、低曝光、去抖动算法，提升显微成像系统的环境适应性和鲁棒性，实现快速三维显微成像的清晰度、识别准确性和检测精细度。</w:t>
      </w:r>
    </w:p>
    <w:p>
      <w:pPr>
        <w:keepNext w:val="0"/>
        <w:keepLines w:val="0"/>
        <w:pageBreakBefore w:val="0"/>
        <w:widowControl w:val="0"/>
        <w:numPr>
          <w:ilvl w:val="0"/>
          <w:numId w:val="2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2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光学显微成像系统：扩大视野范围、分辨率、变倍比、物镜倍数、物镜NA值；</w:t>
      </w:r>
    </w:p>
    <w:p>
      <w:pPr>
        <w:keepNext w:val="0"/>
        <w:keepLines w:val="0"/>
        <w:pageBreakBefore w:val="0"/>
        <w:widowControl w:val="0"/>
        <w:numPr>
          <w:ilvl w:val="0"/>
          <w:numId w:val="2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AI-3D软件 ：一套包含AI训练模型及可以轻量化部署的自主知识产权的AI-3D软件；</w:t>
      </w:r>
    </w:p>
    <w:p>
      <w:pPr>
        <w:keepNext w:val="0"/>
        <w:keepLines w:val="0"/>
        <w:pageBreakBefore w:val="0"/>
        <w:widowControl w:val="0"/>
        <w:numPr>
          <w:ilvl w:val="0"/>
          <w:numId w:val="2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成像增强算法库：一套自主知识产权的成像增强算法库；</w:t>
      </w:r>
    </w:p>
    <w:p>
      <w:pPr>
        <w:keepNext w:val="0"/>
        <w:keepLines w:val="0"/>
        <w:pageBreakBefore w:val="0"/>
        <w:widowControl w:val="0"/>
        <w:numPr>
          <w:ilvl w:val="0"/>
          <w:numId w:val="2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LED照明系统：提升</w:t>
      </w:r>
      <w:bookmarkStart w:id="0" w:name="_GoBack"/>
      <w:bookmarkEnd w:id="0"/>
      <w:r>
        <w:rPr>
          <w:rFonts w:hint="default" w:ascii="Times New Roman" w:hAnsi="Times New Roman" w:eastAsia="方正仿宋_GBK" w:cs="Times New Roman"/>
          <w:sz w:val="28"/>
          <w:szCs w:val="28"/>
          <w:lang w:val="en-US" w:eastAsia="zh-CN"/>
        </w:rPr>
        <w:t>颜色通道、照明分区。</w:t>
      </w:r>
    </w:p>
    <w:p>
      <w:pPr>
        <w:keepNext w:val="0"/>
        <w:keepLines w:val="0"/>
        <w:pageBreakBefore w:val="0"/>
        <w:widowControl w:val="0"/>
        <w:numPr>
          <w:ilvl w:val="0"/>
          <w:numId w:val="2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申请发明专利5项、实用新型专利4项、软著6项、外观专利1项，发表高水平论文至少1篇</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2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eastAsia" w:ascii="Times New Roman" w:hAnsi="Times New Roman" w:eastAsia="方正楷体_GBK" w:cs="Times New Roman"/>
          <w:sz w:val="28"/>
          <w:szCs w:val="28"/>
          <w:lang w:val="en-US" w:eastAsia="zh-CN"/>
        </w:rPr>
        <w:t>：2500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2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宽带射频微波功率放大器组件研发与应用</w:t>
      </w:r>
    </w:p>
    <w:p>
      <w:pPr>
        <w:keepNext w:val="0"/>
        <w:keepLines w:val="0"/>
        <w:pageBreakBefore w:val="0"/>
        <w:widowControl w:val="0"/>
        <w:numPr>
          <w:ilvl w:val="0"/>
          <w:numId w:val="2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电磁兼容、抗干扰等测试中对射频微波功率放大器的探测频率跨度大，场强较强，增益平坦度、线性度谐波等性能指标要求高等问题，开发出一款覆盖80MHz~18GHz频带，各项指标性能优异的宽带射频微波功率放大器组件，满足GJB相关测试需求。</w:t>
      </w:r>
    </w:p>
    <w:p>
      <w:pPr>
        <w:keepNext w:val="0"/>
        <w:keepLines w:val="0"/>
        <w:pageBreakBefore w:val="0"/>
        <w:widowControl w:val="0"/>
        <w:numPr>
          <w:ilvl w:val="0"/>
          <w:numId w:val="2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27"/>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频率：80MHz~18GHz；输出功率：≥25W；二次谐波抑制：≥-13dBc；杂散抑制：≤-55dBc。</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2.申请相关专利6项，其中发明专利2项</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2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500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2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高分辨率高色域AR/VR用硅基OLED空穴注入层材料开发</w:t>
      </w:r>
    </w:p>
    <w:p>
      <w:pPr>
        <w:keepNext w:val="0"/>
        <w:keepLines w:val="0"/>
        <w:pageBreakBefore w:val="0"/>
        <w:widowControl w:val="0"/>
        <w:numPr>
          <w:ilvl w:val="0"/>
          <w:numId w:val="2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器件受高迁移率的空穴注入材料影响，在子像素间形成横向漏电串扰，导致显示色域下降的问题。通过开发低横向电学串扰的叠层OLED用空穴注入材料组合，实现在基于3000ppi以上的硅基OLED微显示器中，实现器件显示色域突破98%以上，为AR/VR用终端提供沉浸式的显示色彩体验效果，实现高PPI硅基OLED的最佳显示效果。项目具体需求为：1.完成具备低电学串扰的空穴注入用有机材料开发；2.完成基于上述空穴注入用有机材料的叠层OLED器件开发，叠层蓝光器件的工作电压低于7V，EQE大于10%，T90寿命超过1000小时；3.进一步，基于上述材料组合的器件应用到硅基OLED芯片中，实现在3000ppi规格芯片上显示色域达到98%以上；4.将高性能硅基OLED微显示器的水平提升至国际一流水平。。</w:t>
      </w:r>
    </w:p>
    <w:p>
      <w:pPr>
        <w:keepNext w:val="0"/>
        <w:keepLines w:val="0"/>
        <w:pageBreakBefore w:val="0"/>
        <w:widowControl w:val="0"/>
        <w:numPr>
          <w:ilvl w:val="0"/>
          <w:numId w:val="2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29"/>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基于3000ppi以上的硅基OLED微型显示器芯片，完成上述材料的应用，产品整体达到微显示行业先进水平，实现：像素尺寸≤7.8um；显示色域≥95%（NTSC）；最大亮度≥5000nit；T90寿命指标≥200h@（≥5000nit）。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2.实现新型空穴注入层材料结构的专利申请与授权≥2项</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2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500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28"/>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基于配微协同的轮毂型柔性配电网关键技术研发与应用</w:t>
      </w:r>
    </w:p>
    <w:p>
      <w:pPr>
        <w:keepNext w:val="0"/>
        <w:keepLines w:val="0"/>
        <w:pageBreakBefore w:val="0"/>
        <w:widowControl w:val="0"/>
        <w:numPr>
          <w:ilvl w:val="0"/>
          <w:numId w:val="3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研究基于创新的电力电子拓扑和算法，实现台区柔性互联技术的高效率，将互联效率提升到98.5%以上。相对于传统的柔直技术路线，其效率可以提升4-5个百分点。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针对配电网大规模分布式光伏、储能以及电动汽车充电桩等冲击性负荷接入带来的台区重过载、电压双向越限及其它电能质量问题，研究台区交流高效互联技术及交直流一体化柔性配网架构，开发中低压交直流柔性互联装置，实现配电网动态增容，减少新型源荷对配电网电能质量的影响，提高配电网承载力和供电可靠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通过建立配微协同的技术基础，实现配网系统可观、可测、可控，可调，促进微电网与大电网之间的协同融合和互动，增强电网调控弹性和灵活性。</w:t>
      </w:r>
    </w:p>
    <w:p>
      <w:pPr>
        <w:keepNext w:val="0"/>
        <w:keepLines w:val="0"/>
        <w:pageBreakBefore w:val="0"/>
        <w:widowControl w:val="0"/>
        <w:numPr>
          <w:ilvl w:val="0"/>
          <w:numId w:val="3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3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研制电压等级AC400V、AC10kV柔性互联装置各1套,并完成产品型式试验报告； 研制配网协调控制器1套，支持Modbus、IEC104、MQTT、Https等协议；开发微电网能量管理平台软件1套。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2.发表学术论文2篇；申请发明专利2项，实用新型专利4项；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形成技术报告1份；形成行业标准或企业标准1份</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1000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3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用于肿瘤术后的多模态盆底精准诊疗系统</w:t>
      </w:r>
    </w:p>
    <w:p>
      <w:pPr>
        <w:keepNext w:val="0"/>
        <w:keepLines w:val="0"/>
        <w:pageBreakBefore w:val="0"/>
        <w:widowControl w:val="0"/>
        <w:numPr>
          <w:ilvl w:val="0"/>
          <w:numId w:val="3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目前盆底康复医疗设备领域检测信息割裂、诊断不精准、治疗疗效差的痛点问题，开发一款用于肿瘤术后的多模态盆底精准诊疗系统，实现以下关键技术的突破：攻克不少于三种模态的肿瘤术后盆底信息融合检测技术，解决诊断过程复杂、精准性差的难题，实现术后患者盆底多元信息综合诊断、降低医生学习成本、简化疾病诊断流程，技术水平国际领先。</w:t>
      </w:r>
    </w:p>
    <w:p>
      <w:pPr>
        <w:keepNext w:val="0"/>
        <w:keepLines w:val="0"/>
        <w:pageBreakBefore w:val="0"/>
        <w:widowControl w:val="0"/>
        <w:numPr>
          <w:ilvl w:val="0"/>
          <w:numId w:val="3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33"/>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精准化生物信息检测要求示值准确度：测量范围1μV～3000μV，误差不大于±10%或±2μV。</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2.发表高质量论文2-4篇；申请专利2项；申请软件著作权1项</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3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500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32"/>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3年</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全新靶点脑卒中恢复期治疗创新药的研发</w:t>
      </w:r>
    </w:p>
    <w:p>
      <w:pPr>
        <w:keepNext w:val="0"/>
        <w:keepLines w:val="0"/>
        <w:pageBreakBefore w:val="0"/>
        <w:widowControl w:val="0"/>
        <w:numPr>
          <w:ilvl w:val="0"/>
          <w:numId w:val="3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目前全球临床均无靶点清晰、疗效确切的脑卒中恢复期用药，临床存在巨大未满足需求的问题，研究全新靶点脑卒中恢复期治疗创新药，改善脑卒中后运动和认知功能障碍，实现在脑卒中恢复期治疗领域的应用。</w:t>
      </w:r>
    </w:p>
    <w:p>
      <w:pPr>
        <w:keepNext w:val="0"/>
        <w:keepLines w:val="0"/>
        <w:pageBreakBefore w:val="0"/>
        <w:widowControl w:val="0"/>
        <w:numPr>
          <w:ilvl w:val="0"/>
          <w:numId w:val="3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35"/>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研究全新靶点解耦联剂的神经修复机制；设计、合成并优化一系列先导化合物；构建脑卒中恢复期药效评价模型，获得疗效显著的候选药物；完成候选药物临床前研究，递交新药临床实验申请（IND）申请，力争获得1类创新药临床批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2.申请发明专利1项或发表学术论文1篇</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3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1500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3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3年</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val="en-US" w:eastAsia="zh-CN"/>
        </w:rPr>
        <w:t>基于人工智能图像精准识别早期宫颈癌诊断系统开发</w:t>
      </w:r>
    </w:p>
    <w:p>
      <w:pPr>
        <w:keepNext w:val="0"/>
        <w:keepLines w:val="0"/>
        <w:pageBreakBefore w:val="0"/>
        <w:widowControl w:val="0"/>
        <w:numPr>
          <w:ilvl w:val="0"/>
          <w:numId w:val="3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需求内容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针对宫颈癌早期病理检查的符合率较低，检查服务水平差异较大，漏诊误诊等问题，开发出通过图像自动化识别病理取样的位置定位，精准判断的宫颈癌早期诊断系统，实现满足辅助病理医生判读的要求，提高识别准确率，降低判读难度，有效提高早筛准确率。</w:t>
      </w:r>
    </w:p>
    <w:p>
      <w:pPr>
        <w:keepNext w:val="0"/>
        <w:keepLines w:val="0"/>
        <w:pageBreakBefore w:val="0"/>
        <w:widowControl w:val="0"/>
        <w:numPr>
          <w:ilvl w:val="0"/>
          <w:numId w:val="3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考核指标</w:t>
      </w:r>
    </w:p>
    <w:p>
      <w:pPr>
        <w:keepNext w:val="0"/>
        <w:keepLines w:val="0"/>
        <w:pageBreakBefore w:val="0"/>
        <w:widowControl w:val="0"/>
        <w:numPr>
          <w:ilvl w:val="0"/>
          <w:numId w:val="37"/>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达到敏感性95%以上</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准确率95%以上</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识别速度10秒以内</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开发针对宫颈病变诊断模块</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开发出图像处理单元、图像分析单元以及图像标注单元</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实现对病变位置、病变类别、病变级别的预测</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HSIL与病理切片结果符合率90%以上</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早期癌与病理切片结果符合率达到95%以上。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2.申请专利至少3件，其中发明专利1件，实用新型专利至少2件；授权实用新型专利至少1件；授权软著至少1件</w:t>
      </w:r>
      <w:r>
        <w:rPr>
          <w:rFonts w:hint="default" w:ascii="Times New Roman" w:hAnsi="Times New Roman" w:eastAsia="方正仿宋_GBK" w:cs="Times New Roman"/>
          <w:sz w:val="28"/>
          <w:szCs w:val="28"/>
          <w:lang w:val="en-US" w:eastAsia="zh-CN"/>
        </w:rPr>
        <w:t>。</w:t>
      </w:r>
    </w:p>
    <w:p>
      <w:pPr>
        <w:keepNext w:val="0"/>
        <w:keepLines w:val="0"/>
        <w:pageBreakBefore w:val="0"/>
        <w:widowControl w:val="0"/>
        <w:numPr>
          <w:ilvl w:val="0"/>
          <w:numId w:val="3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预计研发投入</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300</w:t>
      </w:r>
      <w:r>
        <w:rPr>
          <w:rFonts w:hint="default" w:ascii="Times New Roman" w:hAnsi="Times New Roman" w:eastAsia="方正仿宋_GBK" w:cs="Times New Roman"/>
          <w:sz w:val="28"/>
          <w:szCs w:val="28"/>
          <w:lang w:val="en-US" w:eastAsia="zh-CN"/>
        </w:rPr>
        <w:t>万</w:t>
      </w:r>
    </w:p>
    <w:p>
      <w:pPr>
        <w:keepNext w:val="0"/>
        <w:keepLines w:val="0"/>
        <w:pageBreakBefore w:val="0"/>
        <w:widowControl w:val="0"/>
        <w:numPr>
          <w:ilvl w:val="0"/>
          <w:numId w:val="36"/>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楷体_GBK" w:cs="Times New Roman"/>
          <w:sz w:val="28"/>
          <w:szCs w:val="28"/>
          <w:lang w:val="en-US" w:eastAsia="zh-CN"/>
        </w:rPr>
        <w:t>预计研发周期</w:t>
      </w:r>
      <w:r>
        <w:rPr>
          <w:rFonts w:hint="default" w:ascii="Times New Roman" w:hAnsi="Times New Roman" w:eastAsia="方正仿宋_GBK" w:cs="Times New Roman"/>
          <w:sz w:val="28"/>
          <w:szCs w:val="28"/>
          <w:lang w:val="en-US" w:eastAsia="zh-CN"/>
        </w:rPr>
        <w:t>：</w:t>
      </w:r>
      <w:r>
        <w:rPr>
          <w:rFonts w:hint="eastAsia" w:ascii="Times New Roman" w:hAnsi="Times New Roman" w:eastAsia="方正仿宋_GBK" w:cs="Times New Roman"/>
          <w:sz w:val="28"/>
          <w:szCs w:val="28"/>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D2ECA"/>
    <w:multiLevelType w:val="singleLevel"/>
    <w:tmpl w:val="80CD2ECA"/>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889B3A42"/>
    <w:multiLevelType w:val="singleLevel"/>
    <w:tmpl w:val="889B3A42"/>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
    <w:nsid w:val="8C75D1AE"/>
    <w:multiLevelType w:val="singleLevel"/>
    <w:tmpl w:val="8C75D1AE"/>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3">
    <w:nsid w:val="8D055F10"/>
    <w:multiLevelType w:val="singleLevel"/>
    <w:tmpl w:val="8D055F10"/>
    <w:lvl w:ilvl="0" w:tentative="0">
      <w:start w:val="1"/>
      <w:numFmt w:val="decimal"/>
      <w:lvlText w:val="%1."/>
      <w:lvlJc w:val="left"/>
      <w:pPr>
        <w:tabs>
          <w:tab w:val="left" w:pos="312"/>
        </w:tabs>
      </w:pPr>
    </w:lvl>
  </w:abstractNum>
  <w:abstractNum w:abstractNumId="4">
    <w:nsid w:val="8D459852"/>
    <w:multiLevelType w:val="singleLevel"/>
    <w:tmpl w:val="8D459852"/>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5">
    <w:nsid w:val="90542229"/>
    <w:multiLevelType w:val="singleLevel"/>
    <w:tmpl w:val="90542229"/>
    <w:lvl w:ilvl="0" w:tentative="0">
      <w:start w:val="1"/>
      <w:numFmt w:val="decimal"/>
      <w:lvlText w:val="%1."/>
      <w:lvlJc w:val="left"/>
      <w:pPr>
        <w:tabs>
          <w:tab w:val="left" w:pos="312"/>
        </w:tabs>
      </w:pPr>
    </w:lvl>
  </w:abstractNum>
  <w:abstractNum w:abstractNumId="6">
    <w:nsid w:val="956F3AD2"/>
    <w:multiLevelType w:val="singleLevel"/>
    <w:tmpl w:val="956F3AD2"/>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7">
    <w:nsid w:val="95B49688"/>
    <w:multiLevelType w:val="singleLevel"/>
    <w:tmpl w:val="95B49688"/>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8">
    <w:nsid w:val="982B7659"/>
    <w:multiLevelType w:val="singleLevel"/>
    <w:tmpl w:val="982B7659"/>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9">
    <w:nsid w:val="AF7DA2AD"/>
    <w:multiLevelType w:val="singleLevel"/>
    <w:tmpl w:val="AF7DA2AD"/>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0">
    <w:nsid w:val="B2E209A7"/>
    <w:multiLevelType w:val="singleLevel"/>
    <w:tmpl w:val="B2E209A7"/>
    <w:lvl w:ilvl="0" w:tentative="0">
      <w:start w:val="1"/>
      <w:numFmt w:val="decimal"/>
      <w:lvlText w:val="%1."/>
      <w:lvlJc w:val="left"/>
      <w:pPr>
        <w:tabs>
          <w:tab w:val="left" w:pos="312"/>
        </w:tabs>
      </w:pPr>
    </w:lvl>
  </w:abstractNum>
  <w:abstractNum w:abstractNumId="11">
    <w:nsid w:val="B63F6AEB"/>
    <w:multiLevelType w:val="singleLevel"/>
    <w:tmpl w:val="B63F6AEB"/>
    <w:lvl w:ilvl="0" w:tentative="0">
      <w:start w:val="1"/>
      <w:numFmt w:val="decimal"/>
      <w:lvlText w:val="%1."/>
      <w:lvlJc w:val="left"/>
      <w:pPr>
        <w:tabs>
          <w:tab w:val="left" w:pos="312"/>
        </w:tabs>
      </w:pPr>
    </w:lvl>
  </w:abstractNum>
  <w:abstractNum w:abstractNumId="12">
    <w:nsid w:val="BDF23C9F"/>
    <w:multiLevelType w:val="singleLevel"/>
    <w:tmpl w:val="BDF23C9F"/>
    <w:lvl w:ilvl="0" w:tentative="0">
      <w:start w:val="1"/>
      <w:numFmt w:val="decimal"/>
      <w:lvlText w:val="%1."/>
      <w:lvlJc w:val="left"/>
      <w:pPr>
        <w:tabs>
          <w:tab w:val="left" w:pos="312"/>
        </w:tabs>
      </w:pPr>
    </w:lvl>
  </w:abstractNum>
  <w:abstractNum w:abstractNumId="13">
    <w:nsid w:val="C3793D5E"/>
    <w:multiLevelType w:val="singleLevel"/>
    <w:tmpl w:val="C3793D5E"/>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4">
    <w:nsid w:val="C5717C45"/>
    <w:multiLevelType w:val="singleLevel"/>
    <w:tmpl w:val="C5717C45"/>
    <w:lvl w:ilvl="0" w:tentative="0">
      <w:start w:val="1"/>
      <w:numFmt w:val="decimal"/>
      <w:lvlText w:val="%1."/>
      <w:lvlJc w:val="left"/>
      <w:pPr>
        <w:tabs>
          <w:tab w:val="left" w:pos="312"/>
        </w:tabs>
      </w:pPr>
    </w:lvl>
  </w:abstractNum>
  <w:abstractNum w:abstractNumId="15">
    <w:nsid w:val="CA3195C8"/>
    <w:multiLevelType w:val="singleLevel"/>
    <w:tmpl w:val="CA3195C8"/>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6">
    <w:nsid w:val="EAC57D32"/>
    <w:multiLevelType w:val="singleLevel"/>
    <w:tmpl w:val="EAC57D32"/>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7">
    <w:nsid w:val="F8E71A62"/>
    <w:multiLevelType w:val="singleLevel"/>
    <w:tmpl w:val="F8E71A62"/>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8">
    <w:nsid w:val="FCBB813F"/>
    <w:multiLevelType w:val="singleLevel"/>
    <w:tmpl w:val="FCBB813F"/>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9">
    <w:nsid w:val="FD5EAEB1"/>
    <w:multiLevelType w:val="singleLevel"/>
    <w:tmpl w:val="FD5EAEB1"/>
    <w:lvl w:ilvl="0" w:tentative="0">
      <w:start w:val="1"/>
      <w:numFmt w:val="decimal"/>
      <w:lvlText w:val="%1."/>
      <w:lvlJc w:val="left"/>
      <w:pPr>
        <w:tabs>
          <w:tab w:val="left" w:pos="312"/>
        </w:tabs>
      </w:pPr>
    </w:lvl>
  </w:abstractNum>
  <w:abstractNum w:abstractNumId="20">
    <w:nsid w:val="06FB7655"/>
    <w:multiLevelType w:val="singleLevel"/>
    <w:tmpl w:val="06FB7655"/>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1">
    <w:nsid w:val="073B6064"/>
    <w:multiLevelType w:val="singleLevel"/>
    <w:tmpl w:val="073B6064"/>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2">
    <w:nsid w:val="1649AD6F"/>
    <w:multiLevelType w:val="singleLevel"/>
    <w:tmpl w:val="1649AD6F"/>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3">
    <w:nsid w:val="32637E7C"/>
    <w:multiLevelType w:val="singleLevel"/>
    <w:tmpl w:val="32637E7C"/>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4">
    <w:nsid w:val="37D52DA2"/>
    <w:multiLevelType w:val="singleLevel"/>
    <w:tmpl w:val="37D52DA2"/>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5">
    <w:nsid w:val="432251B3"/>
    <w:multiLevelType w:val="singleLevel"/>
    <w:tmpl w:val="432251B3"/>
    <w:lvl w:ilvl="0" w:tentative="0">
      <w:start w:val="1"/>
      <w:numFmt w:val="decimal"/>
      <w:lvlText w:val="%1."/>
      <w:lvlJc w:val="left"/>
      <w:pPr>
        <w:tabs>
          <w:tab w:val="left" w:pos="312"/>
        </w:tabs>
      </w:pPr>
    </w:lvl>
  </w:abstractNum>
  <w:abstractNum w:abstractNumId="26">
    <w:nsid w:val="464AC1EC"/>
    <w:multiLevelType w:val="singleLevel"/>
    <w:tmpl w:val="464AC1EC"/>
    <w:lvl w:ilvl="0" w:tentative="0">
      <w:start w:val="1"/>
      <w:numFmt w:val="decimal"/>
      <w:lvlText w:val="%1."/>
      <w:lvlJc w:val="left"/>
      <w:pPr>
        <w:tabs>
          <w:tab w:val="left" w:pos="312"/>
        </w:tabs>
      </w:pPr>
    </w:lvl>
  </w:abstractNum>
  <w:abstractNum w:abstractNumId="27">
    <w:nsid w:val="494DB025"/>
    <w:multiLevelType w:val="singleLevel"/>
    <w:tmpl w:val="494DB025"/>
    <w:lvl w:ilvl="0" w:tentative="0">
      <w:start w:val="1"/>
      <w:numFmt w:val="decimal"/>
      <w:lvlText w:val="%1."/>
      <w:lvlJc w:val="left"/>
      <w:pPr>
        <w:tabs>
          <w:tab w:val="left" w:pos="312"/>
        </w:tabs>
      </w:pPr>
    </w:lvl>
  </w:abstractNum>
  <w:abstractNum w:abstractNumId="28">
    <w:nsid w:val="4AFCF7C2"/>
    <w:multiLevelType w:val="singleLevel"/>
    <w:tmpl w:val="4AFCF7C2"/>
    <w:lvl w:ilvl="0" w:tentative="0">
      <w:start w:val="1"/>
      <w:numFmt w:val="decimal"/>
      <w:lvlText w:val="%1."/>
      <w:lvlJc w:val="left"/>
      <w:pPr>
        <w:tabs>
          <w:tab w:val="left" w:pos="312"/>
        </w:tabs>
      </w:pPr>
    </w:lvl>
  </w:abstractNum>
  <w:abstractNum w:abstractNumId="29">
    <w:nsid w:val="503C3FD3"/>
    <w:multiLevelType w:val="singleLevel"/>
    <w:tmpl w:val="503C3FD3"/>
    <w:lvl w:ilvl="0" w:tentative="0">
      <w:start w:val="1"/>
      <w:numFmt w:val="decimal"/>
      <w:lvlText w:val="%1."/>
      <w:lvlJc w:val="left"/>
      <w:pPr>
        <w:tabs>
          <w:tab w:val="left" w:pos="312"/>
        </w:tabs>
      </w:pPr>
    </w:lvl>
  </w:abstractNum>
  <w:abstractNum w:abstractNumId="30">
    <w:nsid w:val="5B48CB6D"/>
    <w:multiLevelType w:val="singleLevel"/>
    <w:tmpl w:val="5B48CB6D"/>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31">
    <w:nsid w:val="5B547910"/>
    <w:multiLevelType w:val="singleLevel"/>
    <w:tmpl w:val="5B547910"/>
    <w:lvl w:ilvl="0" w:tentative="0">
      <w:start w:val="1"/>
      <w:numFmt w:val="decimal"/>
      <w:lvlText w:val="%1."/>
      <w:lvlJc w:val="left"/>
      <w:pPr>
        <w:tabs>
          <w:tab w:val="left" w:pos="312"/>
        </w:tabs>
      </w:pPr>
    </w:lvl>
  </w:abstractNum>
  <w:abstractNum w:abstractNumId="32">
    <w:nsid w:val="6B159F1D"/>
    <w:multiLevelType w:val="singleLevel"/>
    <w:tmpl w:val="6B159F1D"/>
    <w:lvl w:ilvl="0" w:tentative="0">
      <w:start w:val="1"/>
      <w:numFmt w:val="chineseCounting"/>
      <w:suff w:val="nothing"/>
      <w:lvlText w:val="%1、"/>
      <w:lvlJc w:val="left"/>
      <w:rPr>
        <w:rFonts w:hint="eastAsia"/>
      </w:rPr>
    </w:lvl>
  </w:abstractNum>
  <w:abstractNum w:abstractNumId="33">
    <w:nsid w:val="72A3CD53"/>
    <w:multiLevelType w:val="singleLevel"/>
    <w:tmpl w:val="72A3CD53"/>
    <w:lvl w:ilvl="0" w:tentative="0">
      <w:start w:val="1"/>
      <w:numFmt w:val="decimal"/>
      <w:lvlText w:val="%1."/>
      <w:lvlJc w:val="left"/>
      <w:pPr>
        <w:tabs>
          <w:tab w:val="left" w:pos="312"/>
        </w:tabs>
      </w:pPr>
    </w:lvl>
  </w:abstractNum>
  <w:abstractNum w:abstractNumId="34">
    <w:nsid w:val="750EA33B"/>
    <w:multiLevelType w:val="singleLevel"/>
    <w:tmpl w:val="750EA33B"/>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35">
    <w:nsid w:val="7F057CCB"/>
    <w:multiLevelType w:val="singleLevel"/>
    <w:tmpl w:val="7F057CCB"/>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36">
    <w:nsid w:val="7FA34312"/>
    <w:multiLevelType w:val="singleLevel"/>
    <w:tmpl w:val="7FA34312"/>
    <w:lvl w:ilvl="0" w:tentative="0">
      <w:start w:val="1"/>
      <w:numFmt w:val="decimal"/>
      <w:lvlText w:val="%1."/>
      <w:lvlJc w:val="left"/>
      <w:pPr>
        <w:tabs>
          <w:tab w:val="left" w:pos="312"/>
        </w:tabs>
      </w:pPr>
    </w:lvl>
  </w:abstractNum>
  <w:num w:numId="1">
    <w:abstractNumId w:val="32"/>
  </w:num>
  <w:num w:numId="2">
    <w:abstractNumId w:val="22"/>
  </w:num>
  <w:num w:numId="3">
    <w:abstractNumId w:val="17"/>
  </w:num>
  <w:num w:numId="4">
    <w:abstractNumId w:val="13"/>
  </w:num>
  <w:num w:numId="5">
    <w:abstractNumId w:val="7"/>
  </w:num>
  <w:num w:numId="6">
    <w:abstractNumId w:val="0"/>
  </w:num>
  <w:num w:numId="7">
    <w:abstractNumId w:val="18"/>
  </w:num>
  <w:num w:numId="8">
    <w:abstractNumId w:val="19"/>
  </w:num>
  <w:num w:numId="9">
    <w:abstractNumId w:val="34"/>
  </w:num>
  <w:num w:numId="10">
    <w:abstractNumId w:val="8"/>
  </w:num>
  <w:num w:numId="11">
    <w:abstractNumId w:val="35"/>
  </w:num>
  <w:num w:numId="12">
    <w:abstractNumId w:val="33"/>
  </w:num>
  <w:num w:numId="13">
    <w:abstractNumId w:val="4"/>
  </w:num>
  <w:num w:numId="14">
    <w:abstractNumId w:val="14"/>
  </w:num>
  <w:num w:numId="15">
    <w:abstractNumId w:val="26"/>
  </w:num>
  <w:num w:numId="16">
    <w:abstractNumId w:val="23"/>
  </w:num>
  <w:num w:numId="17">
    <w:abstractNumId w:val="36"/>
  </w:num>
  <w:num w:numId="18">
    <w:abstractNumId w:val="1"/>
  </w:num>
  <w:num w:numId="19">
    <w:abstractNumId w:val="11"/>
  </w:num>
  <w:num w:numId="20">
    <w:abstractNumId w:val="2"/>
  </w:num>
  <w:num w:numId="21">
    <w:abstractNumId w:val="29"/>
  </w:num>
  <w:num w:numId="22">
    <w:abstractNumId w:val="6"/>
  </w:num>
  <w:num w:numId="23">
    <w:abstractNumId w:val="28"/>
  </w:num>
  <w:num w:numId="24">
    <w:abstractNumId w:val="15"/>
  </w:num>
  <w:num w:numId="25">
    <w:abstractNumId w:val="5"/>
  </w:num>
  <w:num w:numId="26">
    <w:abstractNumId w:val="20"/>
  </w:num>
  <w:num w:numId="27">
    <w:abstractNumId w:val="25"/>
  </w:num>
  <w:num w:numId="28">
    <w:abstractNumId w:val="24"/>
  </w:num>
  <w:num w:numId="29">
    <w:abstractNumId w:val="27"/>
  </w:num>
  <w:num w:numId="30">
    <w:abstractNumId w:val="16"/>
  </w:num>
  <w:num w:numId="31">
    <w:abstractNumId w:val="3"/>
  </w:num>
  <w:num w:numId="32">
    <w:abstractNumId w:val="9"/>
  </w:num>
  <w:num w:numId="33">
    <w:abstractNumId w:val="12"/>
  </w:num>
  <w:num w:numId="34">
    <w:abstractNumId w:val="30"/>
  </w:num>
  <w:num w:numId="35">
    <w:abstractNumId w:val="10"/>
  </w:num>
  <w:num w:numId="36">
    <w:abstractNumId w:val="2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Y2U5OWNhN2VjYjNkYjBkMWIwYzUxMzU4YjY4YzkifQ=="/>
  </w:docVars>
  <w:rsids>
    <w:rsidRoot w:val="65A34506"/>
    <w:rsid w:val="26D251B9"/>
    <w:rsid w:val="27132FC2"/>
    <w:rsid w:val="2897298F"/>
    <w:rsid w:val="29190F90"/>
    <w:rsid w:val="2F272E90"/>
    <w:rsid w:val="325C6EA1"/>
    <w:rsid w:val="349F732C"/>
    <w:rsid w:val="36F143CA"/>
    <w:rsid w:val="47FB04FC"/>
    <w:rsid w:val="48657AC5"/>
    <w:rsid w:val="48E53B57"/>
    <w:rsid w:val="536E20E6"/>
    <w:rsid w:val="5978672B"/>
    <w:rsid w:val="65A34506"/>
    <w:rsid w:val="71C11D24"/>
    <w:rsid w:val="727502B6"/>
    <w:rsid w:val="72A439A3"/>
    <w:rsid w:val="78CB70BB"/>
    <w:rsid w:val="7DF1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11172</Words>
  <Characters>12369</Characters>
  <Lines>0</Lines>
  <Paragraphs>0</Paragraphs>
  <TotalTime>14</TotalTime>
  <ScaleCrop>false</ScaleCrop>
  <LinksUpToDate>false</LinksUpToDate>
  <CharactersWithSpaces>12466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2023-07-28T01:10:00Z</dcterms:created>
  <dc:creator>夏_林夕</dc:creator>
  <cp:lastModifiedBy>夏_林夕</cp:lastModifiedBy>
  <cp:lastPrinted>2024-06-13T09:37:00Z</cp:lastPrinted>
  <dcterms:modified xsi:type="dcterms:W3CDTF">2024-06-14T05:11:10Z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B9091A6CDD91486F9FA4A379FA2643B9_13</vt:lpwstr>
  </property>
</Properties>
</file>