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</w:pPr>
    </w:p>
    <w:p>
      <w:pPr>
        <w:adjustRightInd w:val="0"/>
        <w:snapToGrid w:val="0"/>
        <w:spacing w:line="570" w:lineRule="exact"/>
        <w:jc w:val="center"/>
        <w:rPr>
          <w:rFonts w:ascii="Times New Roman" w:hAnsi="Times New Roman" w:eastAsia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2025年度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省</w:t>
      </w: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高价值专利培育项目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申报指</w:t>
      </w: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南</w:t>
      </w:r>
    </w:p>
    <w:p>
      <w:pPr>
        <w:tabs>
          <w:tab w:val="left" w:pos="3273"/>
        </w:tabs>
        <w:adjustRightInd w:val="0"/>
        <w:snapToGrid w:val="0"/>
        <w:spacing w:line="570" w:lineRule="exact"/>
        <w:rPr>
          <w:rFonts w:ascii="宋体" w:hAnsi="宋体" w:eastAsia="方正黑体_GBK"/>
          <w:color w:val="auto"/>
          <w:kern w:val="0"/>
          <w:sz w:val="32"/>
          <w:szCs w:val="32"/>
        </w:rPr>
      </w:pPr>
    </w:p>
    <w:p>
      <w:pPr>
        <w:tabs>
          <w:tab w:val="left" w:pos="3273"/>
        </w:tabs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color w:val="auto"/>
          <w:kern w:val="0"/>
          <w:sz w:val="32"/>
          <w:szCs w:val="32"/>
        </w:rPr>
      </w:pPr>
      <w:r>
        <w:rPr>
          <w:rFonts w:ascii="宋体" w:hAnsi="宋体" w:eastAsia="方正黑体_GBK"/>
          <w:color w:val="auto"/>
          <w:kern w:val="0"/>
          <w:sz w:val="32"/>
          <w:szCs w:val="32"/>
        </w:rPr>
        <w:t>一、支持</w:t>
      </w:r>
      <w:r>
        <w:rPr>
          <w:rFonts w:hint="eastAsia" w:ascii="宋体" w:hAnsi="宋体" w:eastAsia="方正黑体_GBK"/>
          <w:color w:val="auto"/>
          <w:kern w:val="0"/>
          <w:sz w:val="32"/>
          <w:szCs w:val="32"/>
        </w:rPr>
        <w:t>重点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江苏省战略性新兴产业、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  <w:lang w:eastAsia="zh-CN"/>
        </w:rPr>
        <w:t>未来产业、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1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650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产业体系有关创新主体。优先支持产业链链主企业、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国家专精特新“小巨人”企业、国家制造业单项冠军企业、国家知识产权示范企业以及我省重点扶持的重大创新载体。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color w:val="auto"/>
          <w:kern w:val="0"/>
          <w:sz w:val="32"/>
          <w:szCs w:val="32"/>
        </w:rPr>
      </w:pPr>
      <w:r>
        <w:rPr>
          <w:rFonts w:ascii="宋体" w:hAnsi="宋体" w:eastAsia="方正黑体_GBK"/>
          <w:color w:val="auto"/>
          <w:kern w:val="0"/>
          <w:sz w:val="32"/>
          <w:szCs w:val="32"/>
        </w:rPr>
        <w:t>二、申报主体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江苏省具有独立法人资格的企业、高校、科研机构、新型研发机构。鼓励前述主体与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产业链上下游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企业、产学研合作单位、知识产权服务机构联合申报。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 w:cs="方正黑体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</w:rPr>
        <w:t>三、申报条件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楷体_GBK"/>
          <w:snapToGrid w:val="0"/>
          <w:color w:val="auto"/>
          <w:kern w:val="0"/>
          <w:sz w:val="32"/>
          <w:szCs w:val="32"/>
        </w:rPr>
        <w:t>（一）申报主体是企业的，应满足以下条件：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</w:pPr>
      <w:r>
        <w:rPr>
          <w:rFonts w:ascii="宋体" w:hAnsi="宋体" w:eastAsia="方正楷体_GBK"/>
          <w:snapToGrid w:val="0"/>
          <w:color w:val="auto"/>
          <w:kern w:val="0"/>
          <w:sz w:val="32"/>
          <w:szCs w:val="32"/>
        </w:rPr>
        <w:t>1</w:t>
      </w:r>
      <w:r>
        <w:rPr>
          <w:rFonts w:hint="eastAsia" w:ascii="宋体" w:hAnsi="宋体" w:eastAsia="方正楷体_GBK"/>
          <w:snapToGrid w:val="0"/>
          <w:color w:val="auto"/>
          <w:kern w:val="0"/>
          <w:sz w:val="32"/>
          <w:szCs w:val="32"/>
        </w:rPr>
        <w:t>.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具有良好的研发基础和研发能力。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在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所申报的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技术领域研发水平处于行业领先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地位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，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正在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承担国家或省部级重大科技攻关项目，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或者正在开展关键核心技术研发，并已取得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一定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成果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有充足的研发经费投入，近三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年研发费用占销售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总额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的比例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达到以下要求：最近一年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销售收入在2亿元及以下的，比例不低于4%；最近一年销售收入高于2亿元的，比例不低于3%。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kern w:val="0"/>
          <w:sz w:val="32"/>
          <w:szCs w:val="32"/>
        </w:rPr>
      </w:pPr>
      <w:r>
        <w:rPr>
          <w:rFonts w:ascii="宋体" w:hAnsi="宋体" w:eastAsia="方正仿宋_GBK"/>
          <w:color w:val="auto"/>
          <w:kern w:val="0"/>
          <w:sz w:val="32"/>
          <w:szCs w:val="32"/>
        </w:rPr>
        <w:t>2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.具有良好的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知识产权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工作基础。达到企业知识产权管理规范国家标准，知识产权管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理制度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比较健全，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有相对独立的知识产权管理机构，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知识产权专兼职人员不少于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3人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知识产权工作经费充足，上一年度知识产权费用占研发费用的比例达到以下要求：研发费用在3000万元及以下的，比例不低于5%；研发费用高于3000万元，比例不低于4%。有稳定的专利产出，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企业有效专利数量不少于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50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件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，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或有效发明专利数量不少于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25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件（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国境外授权专利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可按1:2抵算有效发明专利数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，本企业必须是专利权人之一）。至少备案一件专利产品。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kern w:val="0"/>
          <w:sz w:val="32"/>
          <w:szCs w:val="32"/>
        </w:rPr>
      </w:pPr>
      <w:r>
        <w:rPr>
          <w:rFonts w:ascii="宋体" w:hAnsi="宋体" w:eastAsia="方正仿宋_GBK"/>
          <w:color w:val="auto"/>
          <w:kern w:val="0"/>
          <w:sz w:val="32"/>
          <w:szCs w:val="32"/>
        </w:rPr>
        <w:t>3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.企业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经营状况良好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，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无严重失信行为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，无非正常专利申请行为（以国家知识产权局通报为准）。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楷体_GBK"/>
          <w:snapToGrid w:val="0"/>
          <w:color w:val="auto"/>
          <w:kern w:val="0"/>
          <w:sz w:val="32"/>
          <w:szCs w:val="32"/>
        </w:rPr>
        <w:t>（二）申报主体是高校、科研机构、新型研发机构的，应满足以下条件：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kern w:val="0"/>
          <w:sz w:val="32"/>
          <w:szCs w:val="32"/>
        </w:rPr>
      </w:pPr>
      <w:r>
        <w:rPr>
          <w:rFonts w:ascii="宋体" w:hAnsi="宋体" w:eastAsia="方正仿宋_GBK"/>
          <w:color w:val="auto"/>
          <w:kern w:val="0"/>
          <w:sz w:val="32"/>
          <w:szCs w:val="32"/>
        </w:rPr>
        <w:t>1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.具有良好的研发基础和研发能力。在所申报的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技术领域研发水平处于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国际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领先，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拥有与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该领域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相关的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国家或省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重点实验室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、工程实验室或工程（技术）研究中心等研发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平台（新型研发机构不受此限制）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，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正在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承担国家或省部级重大科技攻关项目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，或者正在开展关键核心技术研发，且已建立产学研合作机制，并取得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一定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成果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有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稳定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充足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的研发经费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和知识产权经费投入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2.具有良好的知识产权工作基础。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知识产权管理制度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比较健全，知识产权专兼职管理人员不少于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3人。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在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相关技术领域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拥有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有效专利数量不少于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50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件，或有效发明专利数量不少于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25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件（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国境外授权专利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可按1:2抵算有效发明专利数）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，运行时间不足三年的国家实验室可放宽专利数量要求。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kern w:val="0"/>
          <w:sz w:val="32"/>
          <w:szCs w:val="32"/>
        </w:rPr>
      </w:pPr>
      <w:r>
        <w:rPr>
          <w:rFonts w:ascii="宋体" w:hAnsi="宋体" w:eastAsia="方正仿宋_GBK"/>
          <w:color w:val="auto"/>
          <w:kern w:val="0"/>
          <w:sz w:val="32"/>
          <w:szCs w:val="32"/>
        </w:rPr>
        <w:t>3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.</w:t>
      </w:r>
      <w:r>
        <w:rPr>
          <w:rFonts w:ascii="宋体" w:hAnsi="宋体" w:eastAsia="方正仿宋_GBK"/>
          <w:color w:val="auto"/>
          <w:kern w:val="0"/>
          <w:sz w:val="32"/>
          <w:szCs w:val="32"/>
        </w:rPr>
        <w:t>无严重失信行为</w:t>
      </w:r>
      <w:r>
        <w:rPr>
          <w:rFonts w:hint="eastAsia" w:ascii="宋体" w:hAnsi="宋体" w:eastAsia="方正仿宋_GBK"/>
          <w:color w:val="auto"/>
          <w:kern w:val="0"/>
          <w:sz w:val="32"/>
          <w:szCs w:val="32"/>
        </w:rPr>
        <w:t>，无非正常专利申请行为（以国家知识产权局通报为准）。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黑体_GBK"/>
          <w:color w:val="auto"/>
          <w:kern w:val="0"/>
          <w:sz w:val="32"/>
          <w:szCs w:val="32"/>
        </w:rPr>
        <w:t>四</w:t>
      </w:r>
      <w:r>
        <w:rPr>
          <w:rFonts w:ascii="宋体" w:hAnsi="宋体" w:eastAsia="方正黑体_GBK"/>
          <w:color w:val="auto"/>
          <w:kern w:val="0"/>
          <w:sz w:val="32"/>
          <w:szCs w:val="32"/>
        </w:rPr>
        <w:t>、</w:t>
      </w:r>
      <w:r>
        <w:rPr>
          <w:rFonts w:hint="eastAsia" w:ascii="宋体" w:hAnsi="宋体" w:eastAsia="方正黑体_GBK"/>
          <w:color w:val="auto"/>
          <w:kern w:val="0"/>
          <w:sz w:val="32"/>
          <w:szCs w:val="32"/>
        </w:rPr>
        <w:t>项目</w:t>
      </w:r>
      <w:r>
        <w:rPr>
          <w:rFonts w:ascii="宋体" w:hAnsi="宋体" w:eastAsia="方正黑体_GBK"/>
          <w:color w:val="auto"/>
          <w:kern w:val="0"/>
          <w:sz w:val="32"/>
          <w:szCs w:val="32"/>
        </w:rPr>
        <w:t>任务</w:t>
      </w:r>
      <w:r>
        <w:rPr>
          <w:rFonts w:hint="eastAsia" w:ascii="宋体" w:hAnsi="宋体" w:eastAsia="方正黑体_GBK"/>
          <w:color w:val="auto"/>
          <w:kern w:val="0"/>
          <w:sz w:val="32"/>
          <w:szCs w:val="32"/>
        </w:rPr>
        <w:t>和绩效目标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楷体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楷体_GBK"/>
          <w:snapToGrid w:val="0"/>
          <w:color w:val="auto"/>
          <w:kern w:val="0"/>
          <w:sz w:val="32"/>
          <w:szCs w:val="32"/>
        </w:rPr>
        <w:t>（一）项目任务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color w:val="auto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1.建立完善高价值专利培育工作机制。组建高价值专利培育中心，完善组织架构，明确责任分工，加大经费投入，制定高价值专利培育工作方案。企业、科研机构、新型研发机构设知识产权总监，高校在研发团队中设知识产权专员。贯彻《创新管理-知识产权管理指南（ISO56005）》国际标准和《高价值专利培育工作规范（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20"/>
        </w:rPr>
        <w:t>DB32T 4308-2022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）》地方标准，建立健全产学研服深度合作、重大事项协商决策、专利导航等制度。面向经营管理、技术研发、市场营销等人员开展知识产权培训，培养具有知识产权专业能力的研发管理人才。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snapToGrid w:val="0"/>
          <w:color w:val="auto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2.运用专利等信息提升研发效能。围绕</w:t>
      </w:r>
      <w:r>
        <w:rPr>
          <w:rFonts w:hint="eastAsia" w:ascii="宋体" w:hAnsi="宋体" w:eastAsia="方正仿宋_GBK"/>
          <w:color w:val="auto"/>
          <w:sz w:val="32"/>
          <w:szCs w:val="32"/>
        </w:rPr>
        <w:t>本项目确定的技术领域，选择1-2个研发方向，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建立研发全过程知识产权管理制度，按照《专利导航指南》国家标准开展专利导航，分析产业竞争态势，确立关键核心技术研发策略和路径，助力关键核心技术研发取得突破。建立专利专题数据库和信息化管理平台，为研发创新提供支持</w:t>
      </w:r>
      <w:r>
        <w:rPr>
          <w:rFonts w:ascii="宋体" w:hAnsi="宋体" w:eastAsia="方正仿宋_GBK"/>
          <w:color w:val="auto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3.开展专利申请和布局。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围绕本项目确定的研发方向加强专利产出目标规划，完善创新成果识别和专利申请决策制度，制定专利布局方案，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推动研发成果及时产权化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。建立专利申请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前置评审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和专利质量管控制度，联合专利代理机构</w:t>
      </w:r>
      <w:r>
        <w:rPr>
          <w:rFonts w:hint="eastAsia" w:ascii="宋体" w:hAnsi="宋体" w:eastAsia="方正仿宋_GBK"/>
          <w:color w:val="auto"/>
          <w:sz w:val="32"/>
          <w:szCs w:val="32"/>
        </w:rPr>
        <w:t>高质量撰写专利申请文件，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合理确定专利保护范围。加强专利</w:t>
      </w:r>
      <w:r>
        <w:rPr>
          <w:rFonts w:hint="eastAsia" w:ascii="宋体" w:hAnsi="宋体" w:eastAsia="方正仿宋_GBK"/>
          <w:color w:val="auto"/>
          <w:sz w:val="32"/>
          <w:szCs w:val="32"/>
        </w:rPr>
        <w:t>申请过程管理，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提高电子申请率</w:t>
      </w:r>
      <w:r>
        <w:rPr>
          <w:rFonts w:hint="eastAsia" w:ascii="宋体" w:hAnsi="宋体" w:eastAsia="方正仿宋_GBK"/>
          <w:color w:val="auto"/>
          <w:sz w:val="32"/>
          <w:szCs w:val="32"/>
        </w:rPr>
        <w:t>。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落实财政资助科研项目形成专利的声明制度。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snapToGrid w:val="0"/>
          <w:color w:val="auto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4.强化专利运用和保护。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snapToGrid w:val="0"/>
          <w:color w:val="auto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eastAsia="zh-CN"/>
        </w:rPr>
        <w:t>（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val="en-US" w:eastAsia="zh-CN"/>
        </w:rPr>
        <w:t>1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eastAsia="zh-CN"/>
        </w:rPr>
        <w:t>）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企业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建立专利分级分类管理制度，提升专利资产管理水平。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推动专利产品化、产业化、标准化，开展专利密集型产品备案认定。积极申报省级以上专利奖、科学技术奖等奖项。建立专利风险研判和防控机制，组建或依托专业维权团队，积极应对专利纠纷，维护自身合法权益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24"/>
        <w:rPr>
          <w:rFonts w:ascii="宋体" w:hAnsi="宋体" w:eastAsia="方正仿宋_GBK"/>
          <w:snapToGrid w:val="0"/>
          <w:color w:val="auto"/>
          <w:kern w:val="0"/>
          <w:sz w:val="32"/>
          <w:szCs w:val="20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eastAsia="zh-CN"/>
        </w:rPr>
        <w:t>（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  <w:lang w:eastAsia="zh-CN"/>
        </w:rPr>
        <w:t>）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高校、科研机构、新型研发机构建立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专利分级分类管理制度，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完善专利转化运用机制，健全收益分配制度。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发挥知识产权运营中心作用，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面向企业、金融投资机构举办高价值专利成果推介会，通过转让、实施许可、作价入股等方式，推动专利价值实现，盘活专利资产。积极申报省级以上专利奖、科学技术奖等奖项。建立专利风险研判和防控机制，组建或依托专业维权团队，积极应对专利纠纷，维护自身合法权益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snapToGrid w:val="0"/>
          <w:color w:val="auto"/>
          <w:kern w:val="0"/>
          <w:sz w:val="32"/>
          <w:szCs w:val="20"/>
        </w:rPr>
        <w:t>5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.发挥高价值专利培育示范效应。巩固和完善高价值专利培育机制，</w:t>
      </w:r>
      <w:r>
        <w:rPr>
          <w:rFonts w:hint="eastAsia" w:ascii="宋体" w:hAnsi="宋体" w:eastAsia="方正仿宋_GBK"/>
          <w:color w:val="auto"/>
          <w:sz w:val="32"/>
          <w:szCs w:val="32"/>
        </w:rPr>
        <w:t>总结高价值专利培育的有效做法和经验，通过各类媒体宣传典型经验和工作成效。举办高价值专利培育示范现场会，牵头推动产业知识产权联盟建设。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楷体_GBK"/>
          <w:snapToGrid w:val="0"/>
          <w:color w:val="auto"/>
          <w:kern w:val="0"/>
          <w:sz w:val="32"/>
          <w:szCs w:val="32"/>
        </w:rPr>
        <w:t>（二）绩效目标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color w:val="auto"/>
          <w:sz w:val="32"/>
          <w:szCs w:val="32"/>
        </w:rPr>
        <w:t>1</w:t>
      </w:r>
      <w:r>
        <w:rPr>
          <w:rFonts w:hint="eastAsia" w:ascii="宋体" w:hAnsi="宋体" w:eastAsia="方正仿宋_GBK"/>
          <w:color w:val="auto"/>
          <w:sz w:val="32"/>
          <w:szCs w:val="32"/>
        </w:rPr>
        <w:t>.通过《高价值专利培育工作规范》地方标准贯标绩效评价并获得优秀等次。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color w:val="auto"/>
          <w:sz w:val="32"/>
          <w:szCs w:val="32"/>
        </w:rPr>
        <w:t>2</w:t>
      </w:r>
      <w:r>
        <w:rPr>
          <w:rFonts w:hint="eastAsia" w:ascii="宋体" w:hAnsi="宋体" w:eastAsia="方正仿宋_GBK"/>
          <w:color w:val="auto"/>
          <w:sz w:val="32"/>
          <w:szCs w:val="32"/>
        </w:rPr>
        <w:t>.</w:t>
      </w:r>
      <w:r>
        <w:rPr>
          <w:rFonts w:ascii="宋体" w:hAnsi="宋体" w:eastAsia="方正仿宋_GBK"/>
          <w:color w:val="auto"/>
          <w:sz w:val="32"/>
          <w:szCs w:val="32"/>
        </w:rPr>
        <w:t>实施期内，</w:t>
      </w:r>
      <w:r>
        <w:rPr>
          <w:rFonts w:hint="eastAsia" w:ascii="宋体" w:hAnsi="宋体" w:eastAsia="方正仿宋_GBK"/>
          <w:color w:val="auto"/>
          <w:sz w:val="32"/>
          <w:szCs w:val="32"/>
        </w:rPr>
        <w:t>围绕本项目确定的技术领域和研发方向，形成</w:t>
      </w:r>
      <w:r>
        <w:rPr>
          <w:rFonts w:ascii="宋体" w:hAnsi="宋体" w:eastAsia="方正仿宋_GBK"/>
          <w:color w:val="auto"/>
          <w:sz w:val="32"/>
          <w:szCs w:val="32"/>
        </w:rPr>
        <w:t>一批</w:t>
      </w:r>
      <w:r>
        <w:rPr>
          <w:rFonts w:hint="eastAsia" w:ascii="宋体" w:hAnsi="宋体" w:eastAsia="方正仿宋_GBK"/>
          <w:color w:val="auto"/>
          <w:sz w:val="32"/>
          <w:szCs w:val="32"/>
        </w:rPr>
        <w:t>权利稳定、布局合理、保护有力、经济社会效益明显的</w:t>
      </w:r>
      <w:r>
        <w:rPr>
          <w:rFonts w:ascii="宋体" w:hAnsi="宋体" w:eastAsia="方正仿宋_GBK"/>
          <w:color w:val="auto"/>
          <w:sz w:val="32"/>
          <w:szCs w:val="32"/>
        </w:rPr>
        <w:t>专利（申请）组合，</w:t>
      </w:r>
      <w:r>
        <w:rPr>
          <w:rFonts w:hint="eastAsia" w:ascii="宋体" w:hAnsi="宋体" w:eastAsia="方正仿宋_GBK"/>
          <w:color w:val="auto"/>
          <w:sz w:val="32"/>
          <w:szCs w:val="32"/>
        </w:rPr>
        <w:t>且未出现非正常专利申请。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3.专利（含专利申请）产品化、产业化效果良好。</w:t>
      </w:r>
      <w:r>
        <w:rPr>
          <w:rFonts w:ascii="宋体" w:hAnsi="宋体" w:eastAsia="方正仿宋_GBK"/>
          <w:color w:val="auto"/>
          <w:sz w:val="32"/>
          <w:szCs w:val="32"/>
        </w:rPr>
        <w:t>企业</w:t>
      </w:r>
      <w:r>
        <w:rPr>
          <w:rFonts w:hint="eastAsia" w:ascii="宋体" w:hAnsi="宋体" w:eastAsia="方正仿宋_GBK"/>
          <w:color w:val="auto"/>
          <w:sz w:val="32"/>
          <w:szCs w:val="32"/>
        </w:rPr>
        <w:t>专</w:t>
      </w:r>
      <w:r>
        <w:rPr>
          <w:rFonts w:ascii="宋体" w:hAnsi="宋体" w:eastAsia="方正仿宋_GBK"/>
          <w:color w:val="auto"/>
          <w:sz w:val="32"/>
          <w:szCs w:val="32"/>
        </w:rPr>
        <w:t>利</w:t>
      </w:r>
      <w:r>
        <w:rPr>
          <w:rFonts w:hint="eastAsia" w:ascii="宋体" w:hAnsi="宋体" w:eastAsia="方正仿宋_GBK"/>
          <w:color w:val="auto"/>
          <w:sz w:val="32"/>
          <w:szCs w:val="32"/>
        </w:rPr>
        <w:t>转化运用率（包括自行实施、许可他人实施、转让、质押融资、作价入股等）不</w:t>
      </w:r>
      <w:r>
        <w:rPr>
          <w:rFonts w:ascii="宋体" w:hAnsi="宋体" w:eastAsia="方正仿宋_GBK"/>
          <w:color w:val="auto"/>
          <w:sz w:val="32"/>
          <w:szCs w:val="32"/>
        </w:rPr>
        <w:t>低于80%</w:t>
      </w:r>
      <w:r>
        <w:rPr>
          <w:rFonts w:hint="eastAsia" w:ascii="宋体" w:hAnsi="宋体" w:eastAsia="方正仿宋_GBK"/>
          <w:color w:val="auto"/>
          <w:sz w:val="32"/>
          <w:szCs w:val="32"/>
        </w:rPr>
        <w:t>，相关产品市场占有率得到提升；</w:t>
      </w:r>
      <w:r>
        <w:rPr>
          <w:rFonts w:ascii="宋体" w:hAnsi="宋体" w:eastAsia="方正仿宋_GBK"/>
          <w:color w:val="auto"/>
          <w:sz w:val="32"/>
          <w:szCs w:val="32"/>
        </w:rPr>
        <w:t>高校、科研机构、新型研发机构</w:t>
      </w:r>
      <w:r>
        <w:rPr>
          <w:rFonts w:hint="eastAsia" w:ascii="宋体" w:hAnsi="宋体" w:eastAsia="方正仿宋_GBK"/>
          <w:color w:val="auto"/>
          <w:sz w:val="32"/>
          <w:szCs w:val="32"/>
        </w:rPr>
        <w:t>专</w:t>
      </w:r>
      <w:r>
        <w:rPr>
          <w:rFonts w:ascii="宋体" w:hAnsi="宋体" w:eastAsia="方正仿宋_GBK"/>
          <w:color w:val="auto"/>
          <w:sz w:val="32"/>
          <w:szCs w:val="32"/>
        </w:rPr>
        <w:t>利</w:t>
      </w:r>
      <w:r>
        <w:rPr>
          <w:rFonts w:hint="eastAsia" w:ascii="宋体" w:hAnsi="宋体" w:eastAsia="方正仿宋_GBK"/>
          <w:color w:val="auto"/>
          <w:sz w:val="32"/>
          <w:szCs w:val="32"/>
        </w:rPr>
        <w:t>转化运用率</w:t>
      </w:r>
      <w:r>
        <w:rPr>
          <w:rFonts w:ascii="宋体" w:hAnsi="宋体" w:eastAsia="方正仿宋_GBK"/>
          <w:color w:val="auto"/>
          <w:sz w:val="32"/>
          <w:szCs w:val="32"/>
        </w:rPr>
        <w:t>不低于</w:t>
      </w:r>
      <w:r>
        <w:rPr>
          <w:rFonts w:hint="eastAsia" w:ascii="宋体" w:hAnsi="宋体" w:eastAsia="方正仿宋_GBK"/>
          <w:color w:val="auto"/>
          <w:sz w:val="32"/>
          <w:szCs w:val="32"/>
        </w:rPr>
        <w:t>3</w:t>
      </w:r>
      <w:r>
        <w:rPr>
          <w:rFonts w:ascii="宋体" w:hAnsi="宋体" w:eastAsia="方正仿宋_GBK"/>
          <w:color w:val="auto"/>
          <w:sz w:val="32"/>
          <w:szCs w:val="32"/>
        </w:rPr>
        <w:t>0%</w:t>
      </w:r>
      <w:r>
        <w:rPr>
          <w:rFonts w:hint="eastAsia" w:ascii="宋体" w:hAnsi="宋体" w:eastAsia="方正仿宋_GBK"/>
          <w:color w:val="auto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70" w:lineRule="exact"/>
        <w:ind w:firstLine="640" w:firstLineChars="200"/>
        <w:rPr>
          <w:rFonts w:ascii="宋体" w:hAnsi="宋体" w:eastAsia="方正黑体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黑体_GBK"/>
          <w:color w:val="auto"/>
          <w:kern w:val="0"/>
          <w:sz w:val="32"/>
          <w:szCs w:val="32"/>
        </w:rPr>
        <w:t>五、组织方式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（一）申报单位根据要求准备申报材料，签订信用承诺书，按属地原则逐级上报。县（市、区）知识产权局具体负责辖区内项目的组织受理和材料审核工作，出具推荐意见，报送至设区市知识产权局，省部属高校院所可直接向设区市知识产权局报送；设区市知识产权局进行初审，严格把关，择优推荐，统一报送省知识产权局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/>
          <w:color w:val="auto"/>
          <w:sz w:val="32"/>
          <w:szCs w:val="32"/>
        </w:rPr>
        <w:t>二</w:t>
      </w:r>
      <w:r>
        <w:rPr>
          <w:rFonts w:ascii="宋体" w:hAnsi="宋体" w:eastAsia="方正仿宋_GBK"/>
          <w:color w:val="auto"/>
          <w:sz w:val="32"/>
          <w:szCs w:val="32"/>
        </w:rPr>
        <w:t>）省知识产权局</w:t>
      </w:r>
      <w:r>
        <w:rPr>
          <w:rFonts w:hint="eastAsia" w:ascii="宋体" w:hAnsi="宋体" w:eastAsia="方正仿宋_GBK"/>
          <w:color w:val="auto"/>
          <w:sz w:val="32"/>
          <w:szCs w:val="32"/>
        </w:rPr>
        <w:t>组织</w:t>
      </w:r>
      <w:r>
        <w:rPr>
          <w:rFonts w:ascii="宋体" w:hAnsi="宋体" w:eastAsia="方正仿宋_GBK"/>
          <w:color w:val="auto"/>
          <w:sz w:val="32"/>
          <w:szCs w:val="32"/>
        </w:rPr>
        <w:t>评审</w:t>
      </w:r>
      <w:r>
        <w:rPr>
          <w:rFonts w:hint="eastAsia" w:ascii="宋体" w:hAnsi="宋体" w:eastAsia="方正仿宋_GBK"/>
          <w:color w:val="auto"/>
          <w:sz w:val="32"/>
          <w:szCs w:val="32"/>
        </w:rPr>
        <w:t>，研究</w:t>
      </w:r>
      <w:r>
        <w:rPr>
          <w:rFonts w:ascii="宋体" w:hAnsi="宋体" w:eastAsia="方正仿宋_GBK"/>
          <w:color w:val="auto"/>
          <w:sz w:val="32"/>
          <w:szCs w:val="32"/>
        </w:rPr>
        <w:t>确定</w:t>
      </w:r>
      <w:r>
        <w:rPr>
          <w:rFonts w:hint="eastAsia" w:ascii="宋体" w:hAnsi="宋体" w:eastAsia="方正仿宋_GBK"/>
          <w:color w:val="auto"/>
          <w:sz w:val="32"/>
          <w:szCs w:val="32"/>
        </w:rPr>
        <w:t>立项</w:t>
      </w:r>
      <w:r>
        <w:rPr>
          <w:rFonts w:ascii="宋体" w:hAnsi="宋体" w:eastAsia="方正仿宋_GBK"/>
          <w:color w:val="auto"/>
          <w:sz w:val="32"/>
          <w:szCs w:val="32"/>
        </w:rPr>
        <w:t>，会同省财政厅下达</w:t>
      </w:r>
      <w:r>
        <w:rPr>
          <w:rFonts w:hint="eastAsia" w:ascii="宋体" w:hAnsi="宋体" w:eastAsia="方正仿宋_GBK"/>
          <w:color w:val="auto"/>
          <w:sz w:val="32"/>
          <w:szCs w:val="32"/>
        </w:rPr>
        <w:t>项目经费</w:t>
      </w:r>
      <w:r>
        <w:rPr>
          <w:rFonts w:ascii="宋体" w:hAnsi="宋体" w:eastAsia="方正仿宋_GBK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sz w:val="32"/>
          <w:szCs w:val="32"/>
        </w:rPr>
      </w:pPr>
      <w:r>
        <w:rPr>
          <w:rFonts w:ascii="宋体" w:hAnsi="宋体" w:eastAsia="方正仿宋_GBK"/>
          <w:color w:val="auto"/>
          <w:sz w:val="32"/>
          <w:szCs w:val="32"/>
        </w:rPr>
        <w:t>（</w:t>
      </w:r>
      <w:r>
        <w:rPr>
          <w:rFonts w:hint="eastAsia" w:ascii="宋体" w:hAnsi="宋体" w:eastAsia="方正仿宋_GBK"/>
          <w:color w:val="auto"/>
          <w:sz w:val="32"/>
          <w:szCs w:val="32"/>
        </w:rPr>
        <w:t>三</w:t>
      </w:r>
      <w:r>
        <w:rPr>
          <w:rFonts w:ascii="宋体" w:hAnsi="宋体" w:eastAsia="方正仿宋_GBK"/>
          <w:color w:val="auto"/>
          <w:sz w:val="32"/>
          <w:szCs w:val="32"/>
        </w:rPr>
        <w:t>）</w:t>
      </w:r>
      <w:r>
        <w:rPr>
          <w:rFonts w:hint="eastAsia" w:ascii="宋体" w:hAnsi="宋体" w:eastAsia="方正仿宋_GBK"/>
          <w:color w:val="auto"/>
          <w:sz w:val="32"/>
          <w:szCs w:val="32"/>
        </w:rPr>
        <w:t>项目实施期限为</w:t>
      </w:r>
      <w:r>
        <w:rPr>
          <w:rFonts w:ascii="宋体" w:hAnsi="宋体" w:eastAsia="方正仿宋_GBK"/>
          <w:color w:val="auto"/>
          <w:sz w:val="32"/>
          <w:szCs w:val="32"/>
        </w:rPr>
        <w:t>3年，省知识产权局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按有关规定组织中期检查和验收。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黑体"/>
          <w:color w:val="auto"/>
          <w:kern w:val="0"/>
          <w:sz w:val="32"/>
          <w:szCs w:val="32"/>
        </w:rPr>
        <w:t>六、申报要求</w:t>
      </w:r>
    </w:p>
    <w:p>
      <w:pPr>
        <w:overflowPunct w:val="0"/>
        <w:adjustRightInd w:val="0"/>
        <w:snapToGrid w:val="0"/>
        <w:spacing w:line="570" w:lineRule="exact"/>
        <w:ind w:firstLine="640" w:firstLineChars="200"/>
        <w:jc w:val="left"/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（一）已作为牵头单位承担过省高价值专利培育计划项目的企业、科研机构、新型研发机构，不得申报本年度项目；已作为牵头单位承担过省高价值专利培育计划项目的高校，不得以同一学院或相同的学科领域方向再次作为牵头单位申报项目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20"/>
        </w:rPr>
        <w:t>；正在承担其他省级知识产权计划项目（含尾款未拨付）的单位，不得申报本项目；正在承担市县级高价值专利培育计划项目的单位，不得以同一培育主题申报本项目。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）2024年发明专利授权量超过10000件的设区市，推荐项目不超过4项，其余设区市推荐项目不超过3项。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）申报材料应真实、准确、规范，如发现弄虚作假、侵犯他人知识产权等行为的，一经查实，将取消项目立项资格，并记入信用档案。各设区市、县（市、区）知识产权局要切实履行职责，对申报材料进行审查核对，确保内容真实可靠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方正仿宋_GBK"/>
          <w:color w:val="auto"/>
          <w:sz w:val="32"/>
          <w:lang w:eastAsia="zh-CN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）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  <w:lang w:eastAsia="zh-CN"/>
        </w:rPr>
        <w:t>全面推行无纸化申报，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申报单位</w:t>
      </w:r>
      <w:r>
        <w:rPr>
          <w:rFonts w:hint="eastAsia" w:ascii="宋体" w:hAnsi="宋体" w:eastAsia="方正仿宋_GBK"/>
          <w:color w:val="auto"/>
          <w:sz w:val="32"/>
        </w:rPr>
        <w:t>登录“江苏省知识产权综合服务平台”（https://www.jsipp.cn），通过“一站式管理——申报与管理”</w:t>
      </w:r>
      <w:r>
        <w:rPr>
          <w:rFonts w:hint="eastAsia" w:ascii="宋体" w:hAnsi="宋体" w:eastAsia="方正仿宋_GBK"/>
          <w:color w:val="auto"/>
          <w:sz w:val="32"/>
          <w:lang w:eastAsia="zh-CN"/>
        </w:rPr>
        <w:t>提交项目申报材料，信用承诺书签字盖章扫描后，以附件形式上传，其他附件材料应传尽传。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（五）项目申报截止日期为2025年2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28</w:t>
      </w:r>
      <w:r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  <w:t>日。</w:t>
      </w:r>
    </w:p>
    <w:p>
      <w:pPr>
        <w:pStyle w:val="2"/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eastAsia="方正仿宋_GBK"/>
          <w:snapToGrid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联系人：省知识产权局产业促进处  安文龙</w:t>
      </w:r>
    </w:p>
    <w:p>
      <w:pPr>
        <w:tabs>
          <w:tab w:val="left" w:pos="3273"/>
        </w:tabs>
        <w:adjustRightInd w:val="0"/>
        <w:snapToGrid w:val="0"/>
        <w:spacing w:line="550" w:lineRule="exact"/>
        <w:ind w:firstLine="640" w:firstLineChars="200"/>
        <w:rPr>
          <w:color w:val="auto"/>
        </w:rPr>
      </w:pPr>
      <w:r>
        <w:rPr>
          <w:rFonts w:hint="eastAsia" w:ascii="宋体" w:hAnsi="宋体" w:eastAsia="方正仿宋_GBK"/>
          <w:snapToGrid w:val="0"/>
          <w:color w:val="auto"/>
          <w:kern w:val="0"/>
          <w:sz w:val="32"/>
          <w:szCs w:val="32"/>
        </w:rPr>
        <w:t>电  话：</w:t>
      </w:r>
      <w:r>
        <w:rPr>
          <w:rFonts w:hint="eastAsia" w:ascii="宋体" w:hAnsi="宋体"/>
          <w:snapToGrid w:val="0"/>
          <w:color w:val="auto"/>
          <w:sz w:val="32"/>
          <w:szCs w:val="32"/>
        </w:rPr>
        <w:t>025-83236249</w:t>
      </w:r>
    </w:p>
    <w:p>
      <w:pPr>
        <w:widowControl/>
        <w:jc w:val="left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5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  </w:t>
    </w:r>
  </w:p>
  <w:p>
    <w:pPr>
      <w:pStyle w:val="3"/>
      <w:jc w:val="right"/>
      <w:rPr>
        <w:rFonts w:ascii="宋体" w:hAnsi="宋体" w:cs="宋体"/>
        <w:sz w:val="28"/>
        <w:szCs w:val="28"/>
      </w:rPr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6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3"/>
      <w:ind w:firstLine="280" w:firstLineChars="100"/>
      <w:rPr>
        <w:rFonts w:ascii="宋体" w:hAnsi="宋体" w:cs="宋体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C4"/>
    <w:rsid w:val="0000099B"/>
    <w:rsid w:val="00031C0E"/>
    <w:rsid w:val="000400F4"/>
    <w:rsid w:val="000E1A43"/>
    <w:rsid w:val="000F6276"/>
    <w:rsid w:val="001006D5"/>
    <w:rsid w:val="00102C56"/>
    <w:rsid w:val="00113A67"/>
    <w:rsid w:val="001702D6"/>
    <w:rsid w:val="00194ED9"/>
    <w:rsid w:val="001B370D"/>
    <w:rsid w:val="001F4726"/>
    <w:rsid w:val="002175D4"/>
    <w:rsid w:val="00232CBF"/>
    <w:rsid w:val="00377BE2"/>
    <w:rsid w:val="00394194"/>
    <w:rsid w:val="00447980"/>
    <w:rsid w:val="004D0472"/>
    <w:rsid w:val="004E17A1"/>
    <w:rsid w:val="00535E87"/>
    <w:rsid w:val="0054534B"/>
    <w:rsid w:val="00566D0B"/>
    <w:rsid w:val="005D4C9B"/>
    <w:rsid w:val="00606E76"/>
    <w:rsid w:val="00791A1A"/>
    <w:rsid w:val="007A65C4"/>
    <w:rsid w:val="007B5D38"/>
    <w:rsid w:val="008378EC"/>
    <w:rsid w:val="00870E07"/>
    <w:rsid w:val="00906A83"/>
    <w:rsid w:val="0095741A"/>
    <w:rsid w:val="009804B1"/>
    <w:rsid w:val="00983E59"/>
    <w:rsid w:val="00A41ED2"/>
    <w:rsid w:val="00A52F62"/>
    <w:rsid w:val="00A539E8"/>
    <w:rsid w:val="00AC7EDF"/>
    <w:rsid w:val="00AE124E"/>
    <w:rsid w:val="00AF2AA5"/>
    <w:rsid w:val="00B008B3"/>
    <w:rsid w:val="00B31964"/>
    <w:rsid w:val="00B5611F"/>
    <w:rsid w:val="00C13F95"/>
    <w:rsid w:val="00C1766C"/>
    <w:rsid w:val="00C573DE"/>
    <w:rsid w:val="00C73E48"/>
    <w:rsid w:val="00C93DC8"/>
    <w:rsid w:val="00CB4122"/>
    <w:rsid w:val="00CF506F"/>
    <w:rsid w:val="00DA478C"/>
    <w:rsid w:val="00E36D3E"/>
    <w:rsid w:val="00E603F3"/>
    <w:rsid w:val="00E72DFD"/>
    <w:rsid w:val="00EC5915"/>
    <w:rsid w:val="00EE5BE6"/>
    <w:rsid w:val="00F037FC"/>
    <w:rsid w:val="00F10A3D"/>
    <w:rsid w:val="00FA420B"/>
    <w:rsid w:val="00FE5574"/>
    <w:rsid w:val="01CB741C"/>
    <w:rsid w:val="03140BC1"/>
    <w:rsid w:val="037D748A"/>
    <w:rsid w:val="03891CCD"/>
    <w:rsid w:val="050711B8"/>
    <w:rsid w:val="05746B9F"/>
    <w:rsid w:val="05D04C1C"/>
    <w:rsid w:val="083678E0"/>
    <w:rsid w:val="08624986"/>
    <w:rsid w:val="0895569D"/>
    <w:rsid w:val="08FB583C"/>
    <w:rsid w:val="09D22F2F"/>
    <w:rsid w:val="0DB66391"/>
    <w:rsid w:val="0F7F0971"/>
    <w:rsid w:val="11583521"/>
    <w:rsid w:val="11EB39DE"/>
    <w:rsid w:val="131D6F45"/>
    <w:rsid w:val="14A12326"/>
    <w:rsid w:val="19C579A6"/>
    <w:rsid w:val="1BA25684"/>
    <w:rsid w:val="1E7F6623"/>
    <w:rsid w:val="1EE91B17"/>
    <w:rsid w:val="207A4A0E"/>
    <w:rsid w:val="20853FFA"/>
    <w:rsid w:val="20BF379D"/>
    <w:rsid w:val="22C609F0"/>
    <w:rsid w:val="23087252"/>
    <w:rsid w:val="230F3711"/>
    <w:rsid w:val="238515D8"/>
    <w:rsid w:val="245F3402"/>
    <w:rsid w:val="2587616D"/>
    <w:rsid w:val="28C1239F"/>
    <w:rsid w:val="2A74644A"/>
    <w:rsid w:val="2AB61B01"/>
    <w:rsid w:val="2B6756E9"/>
    <w:rsid w:val="2C773C1F"/>
    <w:rsid w:val="2CCC7BE6"/>
    <w:rsid w:val="2DE34572"/>
    <w:rsid w:val="346548A1"/>
    <w:rsid w:val="35D9042C"/>
    <w:rsid w:val="375D660E"/>
    <w:rsid w:val="385B4C74"/>
    <w:rsid w:val="3A475ED9"/>
    <w:rsid w:val="3B01001E"/>
    <w:rsid w:val="3EBF31E6"/>
    <w:rsid w:val="44055E8B"/>
    <w:rsid w:val="44255AA2"/>
    <w:rsid w:val="443349FB"/>
    <w:rsid w:val="46680253"/>
    <w:rsid w:val="46A445EF"/>
    <w:rsid w:val="46DE5639"/>
    <w:rsid w:val="484A1C2D"/>
    <w:rsid w:val="4A76712D"/>
    <w:rsid w:val="4B285F99"/>
    <w:rsid w:val="4CAC66DC"/>
    <w:rsid w:val="50EE1952"/>
    <w:rsid w:val="513D75CB"/>
    <w:rsid w:val="53BC33CF"/>
    <w:rsid w:val="56EE768A"/>
    <w:rsid w:val="57F704C0"/>
    <w:rsid w:val="58AD1254"/>
    <w:rsid w:val="5C2720F1"/>
    <w:rsid w:val="5CBD116A"/>
    <w:rsid w:val="5D303DF5"/>
    <w:rsid w:val="5D4E4F32"/>
    <w:rsid w:val="5D541708"/>
    <w:rsid w:val="5D5C054E"/>
    <w:rsid w:val="5E005973"/>
    <w:rsid w:val="5F4B45C0"/>
    <w:rsid w:val="5FCC06AD"/>
    <w:rsid w:val="612109DA"/>
    <w:rsid w:val="63191270"/>
    <w:rsid w:val="63462FB1"/>
    <w:rsid w:val="643444EB"/>
    <w:rsid w:val="663F0785"/>
    <w:rsid w:val="6969070A"/>
    <w:rsid w:val="6A0114BE"/>
    <w:rsid w:val="6CA956B3"/>
    <w:rsid w:val="6E8B25D2"/>
    <w:rsid w:val="6EEF1CA8"/>
    <w:rsid w:val="707B27AC"/>
    <w:rsid w:val="72FD1877"/>
    <w:rsid w:val="756B4BE9"/>
    <w:rsid w:val="77F1203B"/>
    <w:rsid w:val="79AF5702"/>
    <w:rsid w:val="7B7131AE"/>
    <w:rsid w:val="7BEA3510"/>
    <w:rsid w:val="7CD5746D"/>
    <w:rsid w:val="7E9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DengXian" w:hAnsi="DengXian" w:eastAsia="仿宋_GB2312" w:cs="DengXian"/>
      <w:color w:val="000000"/>
      <w:kern w:val="2"/>
      <w:sz w:val="31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485</Words>
  <Characters>2769</Characters>
  <Lines>23</Lines>
  <Paragraphs>6</Paragraphs>
  <TotalTime>23</TotalTime>
  <ScaleCrop>false</ScaleCrop>
  <LinksUpToDate>false</LinksUpToDate>
  <CharactersWithSpaces>3248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2024-12-04T08:59:00Z</dcterms:created>
  <dc:creator>Lenovo</dc:creator>
  <cp:lastModifiedBy>别来无恙1404654337</cp:lastModifiedBy>
  <cp:lastPrinted>2023-12-15T03:18:00Z</cp:lastPrinted>
  <dcterms:modified xsi:type="dcterms:W3CDTF">2025-01-15T01:36:02Z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5DD72C727E274BD4AA1BB9020D24DDC4</vt:lpwstr>
  </property>
</Properties>
</file>