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88968">
      <w:pPr>
        <w:pStyle w:val="2"/>
        <w:spacing w:line="240" w:lineRule="auto"/>
        <w:ind w:right="462"/>
        <w:jc w:val="both"/>
        <w:rPr>
          <w:rFonts w:hint="eastAsia" w:ascii="方正仿宋_GBK" w:hAnsi="方正仿宋_GBK" w:eastAsia="方正仿宋_GBK" w:cs="方正仿宋_GBK"/>
          <w:b/>
          <w:bCs/>
          <w:spacing w:val="-6"/>
          <w:sz w:val="32"/>
          <w:szCs w:val="32"/>
          <w:lang w:val="en-US" w:eastAsia="zh-CN"/>
        </w:rPr>
      </w:pPr>
      <w:r>
        <w:rPr>
          <w:rFonts w:hint="eastAsia" w:ascii="方正仿宋_GBK" w:hAnsi="方正仿宋_GBK" w:eastAsia="方正仿宋_GBK" w:cs="方正仿宋_GBK"/>
          <w:b/>
          <w:bCs/>
          <w:spacing w:val="-6"/>
          <w:sz w:val="32"/>
          <w:szCs w:val="32"/>
          <w:lang w:eastAsia="zh-CN"/>
        </w:rPr>
        <w:t>附件</w:t>
      </w:r>
      <w:r>
        <w:rPr>
          <w:rFonts w:hint="eastAsia" w:ascii="方正仿宋_GBK" w:hAnsi="方正仿宋_GBK" w:eastAsia="方正仿宋_GBK" w:cs="方正仿宋_GBK"/>
          <w:b/>
          <w:bCs/>
          <w:spacing w:val="-6"/>
          <w:sz w:val="32"/>
          <w:szCs w:val="32"/>
          <w:lang w:val="en-US" w:eastAsia="zh-CN"/>
        </w:rPr>
        <w:t>1</w:t>
      </w:r>
    </w:p>
    <w:p w14:paraId="188EFBC4">
      <w:pPr>
        <w:pStyle w:val="2"/>
        <w:spacing w:line="240" w:lineRule="auto"/>
        <w:ind w:right="462"/>
        <w:rPr>
          <w:spacing w:val="-6"/>
        </w:rPr>
      </w:pPr>
    </w:p>
    <w:p w14:paraId="17B7ADE8">
      <w:pPr>
        <w:pStyle w:val="2"/>
        <w:spacing w:line="240" w:lineRule="auto"/>
        <w:ind w:right="462"/>
      </w:pPr>
      <w:r>
        <w:rPr>
          <w:spacing w:val="-6"/>
        </w:rPr>
        <w:t>2025年自治区区域协同创新专项—上海合作组</w:t>
      </w:r>
      <w:r>
        <w:rPr>
          <w:spacing w:val="-2"/>
        </w:rPr>
        <w:t>织科技伙伴计划及国际科技合作计划</w:t>
      </w:r>
    </w:p>
    <w:p w14:paraId="392FFFE4">
      <w:pPr>
        <w:spacing w:before="0" w:line="240" w:lineRule="auto"/>
        <w:ind w:left="365" w:right="458" w:firstLine="0"/>
        <w:jc w:val="center"/>
        <w:rPr>
          <w:rFonts w:hint="eastAsia" w:ascii="方正小标宋_GBK" w:eastAsia="方正小标宋_GBK"/>
          <w:sz w:val="44"/>
        </w:rPr>
      </w:pPr>
      <w:r>
        <w:rPr>
          <w:rFonts w:hint="eastAsia" w:ascii="方正小标宋_GBK" w:eastAsia="方正小标宋_GBK"/>
          <w:spacing w:val="-10"/>
          <w:sz w:val="44"/>
        </w:rPr>
        <w:t>项目申报指南</w:t>
      </w:r>
    </w:p>
    <w:p w14:paraId="4063A4A3">
      <w:pPr>
        <w:pStyle w:val="4"/>
        <w:spacing w:before="15"/>
        <w:ind w:left="0"/>
        <w:rPr>
          <w:rFonts w:ascii="方正小标宋_GBK"/>
          <w:sz w:val="30"/>
        </w:rPr>
      </w:pPr>
    </w:p>
    <w:p w14:paraId="6DA5C4F8">
      <w:pPr>
        <w:pStyle w:val="4"/>
        <w:spacing w:line="328" w:lineRule="auto"/>
        <w:ind w:right="113" w:firstLine="640"/>
      </w:pPr>
      <w:r>
        <w:t xml:space="preserve">2025 年自治区上海合作组织科技伙伴计划及国际科技合作 </w:t>
      </w:r>
      <w:r>
        <w:rPr>
          <w:spacing w:val="-2"/>
        </w:rPr>
        <w:t>计划（</w:t>
      </w:r>
      <w:r>
        <w:rPr>
          <w:spacing w:val="-18"/>
        </w:rPr>
        <w:t>以下简称“上合计划”</w:t>
      </w:r>
      <w:r>
        <w:rPr>
          <w:spacing w:val="-161"/>
        </w:rPr>
        <w:t>）</w:t>
      </w:r>
      <w:r>
        <w:rPr>
          <w:spacing w:val="-15"/>
        </w:rPr>
        <w:t>，坚持“引进来”“走出去”并重、</w:t>
      </w:r>
      <w:r>
        <w:rPr>
          <w:spacing w:val="-2"/>
        </w:rPr>
        <w:t>共商共建共享并进原则，落实国家重大外交战略部署，落实中</w:t>
      </w:r>
    </w:p>
    <w:p w14:paraId="609991AB">
      <w:pPr>
        <w:pStyle w:val="4"/>
        <w:spacing w:line="328" w:lineRule="auto"/>
        <w:ind w:right="593"/>
        <w:jc w:val="both"/>
      </w:pPr>
      <w:r>
        <w:rPr>
          <w:spacing w:val="-2"/>
        </w:rPr>
        <w:t>外政府间科技合作协议及中、俄、哈、蒙合作机制内容，特别是中国新疆与中亚国家科技管理部门间的谅解备忘录内容，深度参与“一带一路”科技创新行动计划，主动融入全球科技创新网络，为加快建设面向中亚的区域科技创新中心提供有力支</w:t>
      </w:r>
      <w:r>
        <w:rPr>
          <w:spacing w:val="-6"/>
        </w:rPr>
        <w:t>撑。</w:t>
      </w:r>
    </w:p>
    <w:p w14:paraId="104EF52A">
      <w:pPr>
        <w:pStyle w:val="4"/>
        <w:spacing w:line="455" w:lineRule="exact"/>
        <w:ind w:left="910"/>
        <w:rPr>
          <w:rFonts w:ascii="方正黑体_GBK" w:eastAsia="方正黑体_GBK"/>
        </w:rPr>
      </w:pPr>
      <w:r>
        <w:rPr>
          <w:rFonts w:ascii="方正黑体_GBK" w:eastAsia="方正黑体_GBK"/>
          <w:spacing w:val="-9"/>
        </w:rPr>
        <w:t>一、支持方向</w:t>
      </w:r>
    </w:p>
    <w:p w14:paraId="4FFB5C8D">
      <w:pPr>
        <w:pStyle w:val="4"/>
        <w:spacing w:before="92" w:line="328" w:lineRule="auto"/>
        <w:ind w:right="274" w:firstLine="640"/>
      </w:pPr>
      <w:r>
        <w:rPr>
          <w:spacing w:val="-2"/>
        </w:rPr>
        <w:t>围绕人工智能、大数据、遥感技术等新一代信息技术应用，盐碱地改良和利用、土壤污染修复、生态屏障防护林建设、生 态环境监测、生物多样性保护等生态保护与可持续发展，水资 源高效利用、种质资源创新与利用、农机装备、以及农、畜新 品种选育养殖等现代农牧业高质量发展，天然药物（动植物原 料药）开发、脊柱脊髓畸形防筛诊治等生物医药与大健康发展，气候变化与自然灾害应对，绿色化工，能源绿色高效开发利用，新能源新材料延链补链，文化遗产保护与修复、地质资源勘探、装备制造等方向，支持我区高校、科研院所、企业等与国内外</w:t>
      </w:r>
    </w:p>
    <w:p w14:paraId="65AFC525">
      <w:pPr>
        <w:spacing w:after="0" w:line="328" w:lineRule="auto"/>
        <w:sectPr>
          <w:footerReference r:id="rId5" w:type="default"/>
          <w:pgSz w:w="11910" w:h="16840"/>
          <w:pgMar w:top="1400" w:right="1140" w:bottom="1180" w:left="1240" w:header="0" w:footer="995" w:gutter="0"/>
          <w:cols w:space="720" w:num="1"/>
        </w:sectPr>
      </w:pPr>
    </w:p>
    <w:p w14:paraId="2473287E">
      <w:pPr>
        <w:pStyle w:val="4"/>
        <w:spacing w:before="54" w:line="326" w:lineRule="auto"/>
        <w:ind w:left="931" w:right="2834" w:hanging="641"/>
      </w:pPr>
      <w:r>
        <w:rPr>
          <w:spacing w:val="-2"/>
        </w:rPr>
        <w:t>创新机构开展多种形式的国际科技合作研究。 1.与中亚及周边国家科技合作项目</w:t>
      </w:r>
    </w:p>
    <w:p w14:paraId="2057ECC5">
      <w:pPr>
        <w:pStyle w:val="4"/>
        <w:spacing w:before="4" w:line="328" w:lineRule="auto"/>
        <w:ind w:right="434" w:firstLine="640"/>
      </w:pPr>
      <w:r>
        <w:rPr>
          <w:spacing w:val="-2"/>
        </w:rPr>
        <w:t>支持与中亚五国（哈萨克斯坦、吉尔吉斯斯坦、塔吉克斯坦、乌兹别克斯坦、土库曼斯坦</w:t>
      </w:r>
      <w:r>
        <w:rPr>
          <w:spacing w:val="-161"/>
        </w:rPr>
        <w:t>）</w:t>
      </w:r>
      <w:r>
        <w:rPr>
          <w:spacing w:val="-2"/>
        </w:rPr>
        <w:t>、俄罗斯、蒙古、巴基斯坦等国家创新主体的科技合作，开展联合科研攻关、科技创新平台搭建、科技成果转化应用、先进技术转移、科技人文交流等，深化多领域融合发展，扩大深层次交流交往，促进产学研用一体化发展，提升科技合作成效，为我国与中亚及周边国家的长期友好和共同发展提供科技支撑。</w:t>
      </w:r>
    </w:p>
    <w:p w14:paraId="32AC5730">
      <w:pPr>
        <w:pStyle w:val="4"/>
        <w:spacing w:line="400" w:lineRule="exact"/>
        <w:ind w:left="931"/>
      </w:pPr>
      <w:r>
        <w:rPr>
          <w:spacing w:val="-4"/>
        </w:rPr>
        <w:t>2</w:t>
      </w:r>
      <w:r>
        <w:rPr>
          <w:spacing w:val="-5"/>
        </w:rPr>
        <w:t>.国际科技创新平台培育建设项目</w:t>
      </w:r>
    </w:p>
    <w:p w14:paraId="7B2ACF15">
      <w:pPr>
        <w:pStyle w:val="4"/>
        <w:spacing w:before="149" w:line="328" w:lineRule="auto"/>
        <w:ind w:right="593" w:firstLine="640"/>
        <w:jc w:val="both"/>
      </w:pPr>
      <w:r>
        <w:rPr>
          <w:spacing w:val="-2"/>
        </w:rPr>
        <w:t>支持国家“一带一路”联合实验室、科技部国际科技合作基地以“项目+人才+基地”相结合的国际科技合作模式，聚集国内外优势科技资源，开展高水平的联合研究、加速推进国际技术双向转移转化、广泛汇聚高水平科技人才，持续产出互利共赢合作成果。鼓励技术创新中心、重点实验室、工程技术研究中心等国家、自治区认定的科技创新平台组织和开展国际科技交流合作。</w:t>
      </w:r>
    </w:p>
    <w:p w14:paraId="3C0D3E5F">
      <w:pPr>
        <w:pStyle w:val="4"/>
        <w:spacing w:line="397" w:lineRule="exact"/>
        <w:ind w:left="931"/>
      </w:pPr>
      <w:r>
        <w:rPr>
          <w:spacing w:val="-4"/>
        </w:rPr>
        <w:t>3</w:t>
      </w:r>
      <w:r>
        <w:rPr>
          <w:spacing w:val="-5"/>
        </w:rPr>
        <w:t>.产业技术研发合作项目</w:t>
      </w:r>
    </w:p>
    <w:p w14:paraId="0046709C">
      <w:pPr>
        <w:pStyle w:val="4"/>
        <w:spacing w:before="151" w:line="328" w:lineRule="auto"/>
        <w:ind w:right="274" w:firstLine="640"/>
      </w:pPr>
      <w:r>
        <w:rPr>
          <w:spacing w:val="-2"/>
        </w:rPr>
        <w:t>面向自治区“十大产业集群”和中国（新疆）自由贸易试 验区以及南疆高质量发展的需求，支持与境外拥有全球领先技 术的科研机构和团队合作交流，开展基础研究、应用技术研发，引进转化关键核心技术、装备，共同推动科研热点的研究、难</w:t>
      </w:r>
    </w:p>
    <w:p w14:paraId="2CEFABB6">
      <w:pPr>
        <w:spacing w:after="0" w:line="328" w:lineRule="auto"/>
        <w:sectPr>
          <w:pgSz w:w="11910" w:h="16840"/>
          <w:pgMar w:top="1920" w:right="1140" w:bottom="1180" w:left="1240" w:header="0" w:footer="995" w:gutter="0"/>
          <w:cols w:space="720" w:num="1"/>
        </w:sectPr>
      </w:pPr>
    </w:p>
    <w:p w14:paraId="1C17AD58">
      <w:pPr>
        <w:pStyle w:val="4"/>
        <w:spacing w:before="54" w:line="326" w:lineRule="auto"/>
        <w:ind w:left="931" w:right="274" w:hanging="641"/>
      </w:pPr>
      <w:r>
        <w:rPr>
          <w:spacing w:val="-2"/>
        </w:rPr>
        <w:t>点的解决，形成引领创新的能力，助力我区重点产业加速发展。 4.其他项目</w:t>
      </w:r>
    </w:p>
    <w:p w14:paraId="6E6C98BA">
      <w:pPr>
        <w:pStyle w:val="4"/>
        <w:spacing w:before="4" w:line="328" w:lineRule="auto"/>
        <w:ind w:right="593" w:firstLine="640"/>
        <w:jc w:val="both"/>
      </w:pPr>
      <w:r>
        <w:rPr>
          <w:spacing w:val="-2"/>
        </w:rPr>
        <w:t>支持与“一带一路”共建国家等开展国际科技交流合作，拓展科技合作国别。支持发起、参与国际大科学计划和大科学工程。支持已通过验收且成效显著（在国际科技创新合作中取得突破性进展，对本地区/本领域/本行业具有示范引领效应）并具有更加走深走实合作空间的上合计划项目持续申报。</w:t>
      </w:r>
    </w:p>
    <w:p w14:paraId="5181BA71">
      <w:pPr>
        <w:pStyle w:val="4"/>
        <w:spacing w:line="457" w:lineRule="exact"/>
        <w:ind w:left="910"/>
        <w:rPr>
          <w:rFonts w:ascii="方正黑体_GBK" w:eastAsia="方正黑体_GBK"/>
        </w:rPr>
      </w:pPr>
      <w:r>
        <w:rPr>
          <w:rFonts w:ascii="方正黑体_GBK" w:eastAsia="方正黑体_GBK"/>
          <w:spacing w:val="-9"/>
        </w:rPr>
        <w:t>二、项目类别</w:t>
      </w:r>
    </w:p>
    <w:p w14:paraId="6EE558C1">
      <w:pPr>
        <w:pStyle w:val="8"/>
        <w:numPr>
          <w:ilvl w:val="0"/>
          <w:numId w:val="1"/>
        </w:numPr>
        <w:tabs>
          <w:tab w:val="left" w:pos="1249"/>
        </w:tabs>
        <w:spacing w:before="94" w:after="0" w:line="240" w:lineRule="auto"/>
        <w:ind w:left="1249" w:right="0" w:hanging="318"/>
        <w:jc w:val="left"/>
        <w:rPr>
          <w:sz w:val="32"/>
        </w:rPr>
      </w:pPr>
      <w:r>
        <w:rPr>
          <w:spacing w:val="-6"/>
          <w:sz w:val="32"/>
        </w:rPr>
        <w:t>重点项目</w:t>
      </w:r>
    </w:p>
    <w:p w14:paraId="4FB0EE02">
      <w:pPr>
        <w:pStyle w:val="4"/>
        <w:spacing w:before="151" w:line="326" w:lineRule="auto"/>
        <w:ind w:right="274" w:firstLine="640"/>
      </w:pPr>
      <w:r>
        <w:rPr>
          <w:spacing w:val="-2"/>
        </w:rPr>
        <w:t>落实国家元首外交承诺，落实自治区党委、自治区人民政 府重点部署的涉外科技合作任务，能够解决区域发展的重大科 技问题和共同挑战，推动区域经济发展与产业加速升级的项目。</w:t>
      </w:r>
    </w:p>
    <w:p w14:paraId="1D363CB5">
      <w:pPr>
        <w:pStyle w:val="8"/>
        <w:numPr>
          <w:ilvl w:val="0"/>
          <w:numId w:val="1"/>
        </w:numPr>
        <w:tabs>
          <w:tab w:val="left" w:pos="1249"/>
        </w:tabs>
        <w:spacing w:before="8" w:after="0" w:line="240" w:lineRule="auto"/>
        <w:ind w:left="1249" w:right="0" w:hanging="318"/>
        <w:jc w:val="left"/>
        <w:rPr>
          <w:sz w:val="32"/>
        </w:rPr>
      </w:pPr>
      <w:r>
        <w:rPr>
          <w:spacing w:val="-6"/>
          <w:sz w:val="32"/>
        </w:rPr>
        <w:t>一般项目</w:t>
      </w:r>
    </w:p>
    <w:p w14:paraId="06FECEE1">
      <w:pPr>
        <w:pStyle w:val="4"/>
        <w:spacing w:before="149" w:line="326" w:lineRule="auto"/>
        <w:ind w:right="593" w:firstLine="640"/>
      </w:pPr>
      <w:r>
        <w:rPr>
          <w:spacing w:val="-2"/>
        </w:rPr>
        <w:t>精准对接科技攻关需求、民生改善需求、可持续发展需求</w:t>
      </w:r>
      <w:r>
        <w:rPr>
          <w:spacing w:val="-4"/>
        </w:rPr>
        <w:t>的项目。</w:t>
      </w:r>
    </w:p>
    <w:p w14:paraId="2C1C97C7">
      <w:pPr>
        <w:pStyle w:val="3"/>
        <w:spacing w:line="468" w:lineRule="exact"/>
        <w:ind w:left="915"/>
        <w:rPr>
          <w:rFonts w:hint="eastAsia" w:ascii="方正黑体_GBK" w:eastAsia="方正黑体_GBK"/>
        </w:rPr>
      </w:pPr>
      <w:r>
        <w:rPr>
          <w:rFonts w:hint="eastAsia" w:ascii="方正黑体_GBK" w:eastAsia="方正黑体_GBK"/>
          <w:spacing w:val="-7"/>
        </w:rPr>
        <w:t>三、申报要求</w:t>
      </w:r>
    </w:p>
    <w:p w14:paraId="7140E0AD">
      <w:pPr>
        <w:pStyle w:val="8"/>
        <w:numPr>
          <w:ilvl w:val="0"/>
          <w:numId w:val="2"/>
        </w:numPr>
        <w:tabs>
          <w:tab w:val="left" w:pos="1249"/>
        </w:tabs>
        <w:spacing w:before="96" w:after="0" w:line="328" w:lineRule="auto"/>
        <w:ind w:left="291" w:right="593" w:firstLine="640"/>
        <w:jc w:val="both"/>
        <w:rPr>
          <w:sz w:val="32"/>
        </w:rPr>
      </w:pPr>
      <w:r>
        <w:rPr>
          <w:spacing w:val="-2"/>
          <w:sz w:val="32"/>
        </w:rPr>
        <w:t>项目申报单位应是在自治区境内注册具有独立法人资格的企业、科研院所、高等院校等企事业单位以及中央驻疆非独立法人单位，单位及法人代表无不良信用记录；具备与项目实施相匹配的基础条件和能力，具有健全的科研、财务等管理制</w:t>
      </w:r>
      <w:r>
        <w:rPr>
          <w:spacing w:val="-6"/>
          <w:sz w:val="32"/>
        </w:rPr>
        <w:t>度。</w:t>
      </w:r>
    </w:p>
    <w:p w14:paraId="7693EB16">
      <w:pPr>
        <w:pStyle w:val="8"/>
        <w:numPr>
          <w:ilvl w:val="0"/>
          <w:numId w:val="2"/>
        </w:numPr>
        <w:tabs>
          <w:tab w:val="left" w:pos="1249"/>
        </w:tabs>
        <w:spacing w:before="0" w:after="0" w:line="403" w:lineRule="exact"/>
        <w:ind w:left="1249" w:right="0" w:hanging="318"/>
        <w:jc w:val="left"/>
        <w:rPr>
          <w:sz w:val="32"/>
        </w:rPr>
      </w:pPr>
      <w:r>
        <w:rPr>
          <w:spacing w:val="-4"/>
          <w:sz w:val="32"/>
        </w:rPr>
        <w:t>申报单位应与境外（含港、澳、台地区）</w:t>
      </w:r>
      <w:r>
        <w:rPr>
          <w:spacing w:val="-5"/>
          <w:sz w:val="32"/>
        </w:rPr>
        <w:t>合作伙伴有良</w:t>
      </w:r>
    </w:p>
    <w:p w14:paraId="244E5B1D">
      <w:pPr>
        <w:spacing w:after="0" w:line="403" w:lineRule="exact"/>
        <w:jc w:val="left"/>
        <w:rPr>
          <w:sz w:val="32"/>
        </w:rPr>
        <w:sectPr>
          <w:pgSz w:w="11910" w:h="16840"/>
          <w:pgMar w:top="1920" w:right="1140" w:bottom="1180" w:left="1240" w:header="0" w:footer="995" w:gutter="0"/>
          <w:cols w:space="720" w:num="1"/>
        </w:sectPr>
      </w:pPr>
    </w:p>
    <w:p w14:paraId="2332448A">
      <w:pPr>
        <w:pStyle w:val="4"/>
        <w:spacing w:before="4"/>
        <w:ind w:left="0"/>
        <w:rPr>
          <w:sz w:val="18"/>
        </w:rPr>
      </w:pPr>
    </w:p>
    <w:p w14:paraId="5855C737">
      <w:pPr>
        <w:pStyle w:val="4"/>
        <w:spacing w:before="54" w:line="326" w:lineRule="auto"/>
        <w:ind w:right="593"/>
      </w:pPr>
      <w:r>
        <w:rPr>
          <w:spacing w:val="-2"/>
        </w:rPr>
        <w:t>好合作基础，并签订与本次项目研究内容相关的有效协议（外文版、中文版均带签章</w:t>
      </w:r>
      <w:r>
        <w:rPr>
          <w:spacing w:val="-159"/>
        </w:rPr>
        <w:t>）</w:t>
      </w:r>
      <w:r>
        <w:rPr>
          <w:spacing w:val="-2"/>
        </w:rPr>
        <w:t>。</w:t>
      </w:r>
    </w:p>
    <w:p w14:paraId="407D3738">
      <w:pPr>
        <w:pStyle w:val="8"/>
        <w:numPr>
          <w:ilvl w:val="1"/>
          <w:numId w:val="2"/>
        </w:numPr>
        <w:tabs>
          <w:tab w:val="left" w:pos="1488"/>
        </w:tabs>
        <w:spacing w:before="4" w:after="0" w:line="328" w:lineRule="auto"/>
        <w:ind w:left="291" w:right="593" w:firstLine="640"/>
        <w:jc w:val="both"/>
        <w:rPr>
          <w:sz w:val="32"/>
        </w:rPr>
      </w:pPr>
      <w:r>
        <w:rPr>
          <w:spacing w:val="-2"/>
          <w:sz w:val="32"/>
        </w:rPr>
        <w:t>项目合作内容和方式应符合我国及各合作机构所在国家（地区、国际组织）有关法律法规和科研伦理相关规定。凡开展须事先审查报批的合作活动，例如涉及人类遗传资源或种质资源等，申报单位必须事先依法依规履行国内有关审查报批</w:t>
      </w:r>
      <w:r>
        <w:rPr>
          <w:spacing w:val="-4"/>
          <w:sz w:val="32"/>
        </w:rPr>
        <w:t>手续。</w:t>
      </w:r>
    </w:p>
    <w:p w14:paraId="10F06FC1">
      <w:pPr>
        <w:pStyle w:val="8"/>
        <w:numPr>
          <w:ilvl w:val="1"/>
          <w:numId w:val="2"/>
        </w:numPr>
        <w:tabs>
          <w:tab w:val="left" w:pos="1488"/>
        </w:tabs>
        <w:spacing w:before="0" w:after="0" w:line="328" w:lineRule="auto"/>
        <w:ind w:left="291" w:right="593" w:firstLine="640"/>
        <w:jc w:val="both"/>
        <w:rPr>
          <w:sz w:val="32"/>
        </w:rPr>
      </w:pPr>
      <w:r>
        <w:rPr>
          <w:spacing w:val="-2"/>
          <w:sz w:val="32"/>
        </w:rPr>
        <w:t>项目形成的科研数据的归属、使用和转移，应按照国家有关法律法规和政策执行，应遵守我国参加或与合作方政府签订的有关数据保护国际公约或双边条约。</w:t>
      </w:r>
    </w:p>
    <w:p w14:paraId="06D8C9E8">
      <w:pPr>
        <w:pStyle w:val="8"/>
        <w:numPr>
          <w:ilvl w:val="1"/>
          <w:numId w:val="2"/>
        </w:numPr>
        <w:tabs>
          <w:tab w:val="left" w:pos="1488"/>
        </w:tabs>
        <w:spacing w:before="0" w:after="0" w:line="328" w:lineRule="auto"/>
        <w:ind w:left="291" w:right="593" w:firstLine="640"/>
        <w:jc w:val="both"/>
        <w:rPr>
          <w:sz w:val="32"/>
        </w:rPr>
      </w:pPr>
      <w:r>
        <w:rPr>
          <w:spacing w:val="-2"/>
          <w:sz w:val="32"/>
        </w:rPr>
        <w:t>合作各方对未来知识产权归属和成果转化收益归属有明确约定或意向性约定，且符合我国法律法规中关于知识产权归属和成果转化收益的有关条款（须附知识产权协议或意向性协议、备忘录、证明信或在中外合作协议中明确知识产权相关</w:t>
      </w:r>
      <w:r>
        <w:rPr>
          <w:spacing w:val="-4"/>
          <w:sz w:val="32"/>
        </w:rPr>
        <w:t>条款</w:t>
      </w:r>
      <w:r>
        <w:rPr>
          <w:spacing w:val="-161"/>
          <w:sz w:val="32"/>
        </w:rPr>
        <w:t>）</w:t>
      </w:r>
      <w:r>
        <w:rPr>
          <w:spacing w:val="-4"/>
          <w:sz w:val="32"/>
        </w:rPr>
        <w:t>。</w:t>
      </w:r>
    </w:p>
    <w:p w14:paraId="10D77297">
      <w:pPr>
        <w:pStyle w:val="8"/>
        <w:numPr>
          <w:ilvl w:val="0"/>
          <w:numId w:val="2"/>
        </w:numPr>
        <w:tabs>
          <w:tab w:val="left" w:pos="1249"/>
        </w:tabs>
        <w:spacing w:before="0" w:after="0" w:line="328" w:lineRule="auto"/>
        <w:ind w:left="291" w:right="593" w:firstLine="640"/>
        <w:jc w:val="both"/>
        <w:rPr>
          <w:sz w:val="32"/>
        </w:rPr>
      </w:pPr>
      <w:r>
        <w:rPr>
          <w:spacing w:val="-2"/>
          <w:sz w:val="32"/>
        </w:rPr>
        <w:t>鼓励采用产学研合作方式进行申报，可与疆内外优势科研力量联合申报。多家单位联合申报需签订合作协议（除中、</w:t>
      </w:r>
      <w:r>
        <w:rPr>
          <w:spacing w:val="-1"/>
          <w:sz w:val="32"/>
        </w:rPr>
        <w:t xml:space="preserve">外方牵头单位外，其他参与单位总数不超过 </w:t>
      </w:r>
      <w:r>
        <w:rPr>
          <w:sz w:val="32"/>
        </w:rPr>
        <w:t>3</w:t>
      </w:r>
      <w:r>
        <w:rPr>
          <w:spacing w:val="-9"/>
          <w:sz w:val="32"/>
        </w:rPr>
        <w:t xml:space="preserve"> 家</w:t>
      </w:r>
      <w:r>
        <w:rPr>
          <w:spacing w:val="-161"/>
          <w:sz w:val="32"/>
        </w:rPr>
        <w:t>）</w:t>
      </w:r>
      <w:r>
        <w:rPr>
          <w:sz w:val="32"/>
        </w:rPr>
        <w:t>，明确协议</w:t>
      </w:r>
      <w:r>
        <w:rPr>
          <w:spacing w:val="-2"/>
          <w:sz w:val="32"/>
        </w:rPr>
        <w:t>签署时间和约定各方责任、目标任务、经费分配，以及项目实施形成的科技成果权益归属等，并将完整的合作协议（加盖所有合作单位公章）作为附件。</w:t>
      </w:r>
    </w:p>
    <w:p w14:paraId="4458DD5F">
      <w:pPr>
        <w:pStyle w:val="8"/>
        <w:numPr>
          <w:ilvl w:val="0"/>
          <w:numId w:val="2"/>
        </w:numPr>
        <w:tabs>
          <w:tab w:val="left" w:pos="1249"/>
        </w:tabs>
        <w:spacing w:before="0" w:after="0" w:line="400" w:lineRule="exact"/>
        <w:ind w:left="1249" w:right="0" w:hanging="318"/>
        <w:jc w:val="left"/>
        <w:rPr>
          <w:sz w:val="32"/>
        </w:rPr>
      </w:pPr>
      <w:r>
        <w:rPr>
          <w:spacing w:val="-5"/>
          <w:sz w:val="32"/>
        </w:rPr>
        <w:t>项目负责人应为副高级及以上职称或具有博士学位，具</w:t>
      </w:r>
    </w:p>
    <w:p w14:paraId="240D4B97">
      <w:pPr>
        <w:spacing w:after="0" w:line="400" w:lineRule="exact"/>
        <w:jc w:val="left"/>
        <w:rPr>
          <w:sz w:val="32"/>
        </w:rPr>
        <w:sectPr>
          <w:pgSz w:w="11910" w:h="16840"/>
          <w:pgMar w:top="1920" w:right="1140" w:bottom="1180" w:left="1240" w:header="0" w:footer="995" w:gutter="0"/>
          <w:cols w:space="720" w:num="1"/>
        </w:sectPr>
      </w:pPr>
    </w:p>
    <w:p w14:paraId="013E1F75">
      <w:pPr>
        <w:pStyle w:val="4"/>
        <w:spacing w:before="54" w:line="328" w:lineRule="auto"/>
        <w:ind w:right="432"/>
      </w:pPr>
      <w:r>
        <w:rPr>
          <w:spacing w:val="-2"/>
        </w:rPr>
        <w:t>有主持或参与相关科研项目的经验，在项目结束时年龄原则上不超过法定退休年龄（国际杰青计划项目获得者申报时年龄不</w:t>
      </w:r>
      <w:r>
        <w:rPr>
          <w:spacing w:val="-6"/>
        </w:rPr>
        <w:t xml:space="preserve">超过 </w:t>
      </w:r>
      <w:r>
        <w:t>45</w:t>
      </w:r>
      <w:r>
        <w:rPr>
          <w:spacing w:val="-6"/>
        </w:rPr>
        <w:t xml:space="preserve"> 周岁</w:t>
      </w:r>
      <w:r>
        <w:rPr>
          <w:spacing w:val="-159"/>
        </w:rPr>
        <w:t>）</w:t>
      </w:r>
      <w:r>
        <w:t>。项目负责人原则上应为项目主体研究思路的提</w:t>
      </w:r>
      <w:r>
        <w:rPr>
          <w:spacing w:val="-2"/>
        </w:rPr>
        <w:t>出者和实际主持研究的科技人员，与申报单位已签订意向协议</w:t>
      </w:r>
    </w:p>
    <w:p w14:paraId="3C2E0F0E">
      <w:pPr>
        <w:pStyle w:val="4"/>
        <w:spacing w:line="326" w:lineRule="auto"/>
        <w:ind w:right="113"/>
      </w:pPr>
      <w:r>
        <w:rPr>
          <w:spacing w:val="-1"/>
        </w:rPr>
        <w:t xml:space="preserve">或工作合同，且能保证每年用于项目的工作时间不少于 </w:t>
      </w:r>
      <w:r>
        <w:t>6</w:t>
      </w:r>
      <w:r>
        <w:rPr>
          <w:spacing w:val="-5"/>
        </w:rPr>
        <w:t xml:space="preserve"> 个月。</w:t>
      </w:r>
      <w:r>
        <w:rPr>
          <w:spacing w:val="-2"/>
        </w:rPr>
        <w:t>行政单位及公务员不得申报。</w:t>
      </w:r>
    </w:p>
    <w:p w14:paraId="2F61F48E">
      <w:pPr>
        <w:pStyle w:val="8"/>
        <w:numPr>
          <w:ilvl w:val="0"/>
          <w:numId w:val="2"/>
        </w:numPr>
        <w:tabs>
          <w:tab w:val="left" w:pos="1249"/>
        </w:tabs>
        <w:spacing w:before="0" w:after="0" w:line="326" w:lineRule="auto"/>
        <w:ind w:left="291" w:right="593" w:firstLine="640"/>
        <w:jc w:val="both"/>
        <w:rPr>
          <w:sz w:val="32"/>
        </w:rPr>
      </w:pPr>
      <w:r>
        <w:rPr>
          <w:spacing w:val="-2"/>
          <w:sz w:val="32"/>
        </w:rPr>
        <w:t>外方合作单位项目负责人不得就同一研究方向和技术路线与国内不同单位合作多头参与申报，其作为外方项目负责人</w:t>
      </w:r>
      <w:r>
        <w:rPr>
          <w:sz w:val="32"/>
        </w:rPr>
        <w:t>申报项目和参与在研项目总数不得超过 2 个。</w:t>
      </w:r>
    </w:p>
    <w:p w14:paraId="00226B19">
      <w:pPr>
        <w:pStyle w:val="8"/>
        <w:numPr>
          <w:ilvl w:val="0"/>
          <w:numId w:val="2"/>
        </w:numPr>
        <w:tabs>
          <w:tab w:val="left" w:pos="1249"/>
        </w:tabs>
        <w:spacing w:before="6" w:after="0" w:line="328" w:lineRule="auto"/>
        <w:ind w:left="291" w:right="594" w:firstLine="640"/>
        <w:jc w:val="both"/>
        <w:rPr>
          <w:sz w:val="32"/>
        </w:rPr>
      </w:pPr>
      <w:r>
        <w:rPr>
          <w:spacing w:val="-2"/>
          <w:sz w:val="32"/>
        </w:rPr>
        <w:t xml:space="preserve">申报单位属于高校、科研院所等事业单位性质的，无需配套经费；企业性质的需配套自筹经费，且比例不低于 </w:t>
      </w:r>
      <w:r>
        <w:rPr>
          <w:sz w:val="32"/>
        </w:rPr>
        <w:t>2:1。</w:t>
      </w:r>
      <w:r>
        <w:rPr>
          <w:spacing w:val="-2"/>
          <w:sz w:val="32"/>
        </w:rPr>
        <w:t>央企所属非独立法人单位（机构）需自筹项目所需全部科研经费。疆外（含兵团）参与单位，申报财政资金不得超过项目财</w:t>
      </w:r>
      <w:r>
        <w:rPr>
          <w:sz w:val="32"/>
        </w:rPr>
        <w:t>政资金总额的 1/3。</w:t>
      </w:r>
    </w:p>
    <w:p w14:paraId="7FC81C7E">
      <w:pPr>
        <w:pStyle w:val="8"/>
        <w:numPr>
          <w:ilvl w:val="0"/>
          <w:numId w:val="2"/>
        </w:numPr>
        <w:tabs>
          <w:tab w:val="left" w:pos="1249"/>
        </w:tabs>
        <w:spacing w:before="0" w:after="0" w:line="328" w:lineRule="auto"/>
        <w:ind w:left="291" w:right="273" w:firstLine="640"/>
        <w:jc w:val="left"/>
        <w:rPr>
          <w:sz w:val="32"/>
        </w:rPr>
      </w:pPr>
      <w:r>
        <w:rPr>
          <w:sz w:val="32"/>
        </w:rPr>
        <w:t>项目负责人本次申报不得超过 1 项，有在研自治区科技</w:t>
      </w:r>
      <w:r>
        <w:rPr>
          <w:spacing w:val="-2"/>
          <w:sz w:val="32"/>
        </w:rPr>
        <w:t>计划项目或已立项公示项目（不包括自治区科技特派员服务类 项目和自治区自然科学基金）不得申报。同一单位的同一内容 或相近内容项目不得重复申报不同类别自治区科技计划。项目 申报单位、参与单位、负责人、团队成员在财政资金专项审计、巡视等检查过程中存在违规行为，或有在惩戒执行期内的科研 失信行为记录或相关社会领域信用“黑名单”记录的不得申报。</w:t>
      </w:r>
    </w:p>
    <w:p w14:paraId="5C56D120">
      <w:pPr>
        <w:pStyle w:val="8"/>
        <w:numPr>
          <w:ilvl w:val="0"/>
          <w:numId w:val="2"/>
        </w:numPr>
        <w:tabs>
          <w:tab w:val="left" w:pos="1249"/>
        </w:tabs>
        <w:spacing w:before="0" w:after="0" w:line="400" w:lineRule="exact"/>
        <w:ind w:left="1249" w:right="0" w:hanging="318"/>
        <w:jc w:val="left"/>
        <w:rPr>
          <w:sz w:val="32"/>
        </w:rPr>
      </w:pPr>
      <w:r>
        <w:rPr>
          <w:spacing w:val="-5"/>
          <w:sz w:val="32"/>
        </w:rPr>
        <w:t>项目申报单位和推荐单位应建立完善科技伦理和科技安</w:t>
      </w:r>
    </w:p>
    <w:p w14:paraId="37EFA055">
      <w:pPr>
        <w:spacing w:after="0" w:line="400" w:lineRule="exact"/>
        <w:jc w:val="left"/>
        <w:rPr>
          <w:sz w:val="32"/>
        </w:rPr>
        <w:sectPr>
          <w:pgSz w:w="11910" w:h="16840"/>
          <w:pgMar w:top="1920" w:right="1140" w:bottom="1180" w:left="1240" w:header="0" w:footer="995" w:gutter="0"/>
          <w:cols w:space="720" w:num="1"/>
        </w:sectPr>
      </w:pPr>
    </w:p>
    <w:p w14:paraId="05F4D209">
      <w:pPr>
        <w:pStyle w:val="4"/>
        <w:spacing w:before="54" w:line="328" w:lineRule="auto"/>
        <w:ind w:right="593"/>
        <w:jc w:val="both"/>
      </w:pPr>
      <w:r>
        <w:rPr>
          <w:spacing w:val="-2"/>
        </w:rPr>
        <w:t>全审查机制，防范科技伦理和安全风险，按照有关法律法规，加强审查和过程管理。在生命科学、医学、人工智能等领域涉及人和实验动物的科技活动，应开展科技伦理审查，并将科技伦理审查报告作为附件提交。</w:t>
      </w:r>
    </w:p>
    <w:p w14:paraId="41C367E4">
      <w:pPr>
        <w:pStyle w:val="8"/>
        <w:numPr>
          <w:ilvl w:val="0"/>
          <w:numId w:val="2"/>
        </w:numPr>
        <w:tabs>
          <w:tab w:val="left" w:pos="1249"/>
        </w:tabs>
        <w:spacing w:before="0" w:after="0" w:line="326" w:lineRule="auto"/>
        <w:ind w:left="291" w:right="593" w:firstLine="640"/>
        <w:jc w:val="left"/>
        <w:rPr>
          <w:sz w:val="32"/>
        </w:rPr>
      </w:pPr>
      <w:r>
        <w:rPr>
          <w:spacing w:val="-2"/>
          <w:sz w:val="32"/>
        </w:rPr>
        <w:t>经过相关程序认定有涉密内容的项目不通过网上申报，可直接将申报材料报送至自治区科技厅国际合作处。</w:t>
      </w:r>
    </w:p>
    <w:p w14:paraId="1AF59524">
      <w:pPr>
        <w:pStyle w:val="3"/>
        <w:spacing w:before="7"/>
      </w:pPr>
      <w:r>
        <w:rPr>
          <w:rFonts w:hint="eastAsia"/>
          <w:spacing w:val="-3"/>
          <w:lang w:eastAsia="zh-CN"/>
        </w:rPr>
        <w:t>四</w:t>
      </w:r>
      <w:r>
        <w:rPr>
          <w:spacing w:val="-3"/>
        </w:rPr>
        <w:t>、联系人及联系方式</w:t>
      </w:r>
    </w:p>
    <w:p w14:paraId="78EFC401">
      <w:pPr>
        <w:pStyle w:val="4"/>
        <w:spacing w:before="150" w:line="326" w:lineRule="auto"/>
        <w:ind w:right="593" w:firstLine="640"/>
      </w:pPr>
      <w:r>
        <w:rPr>
          <w:spacing w:val="6"/>
        </w:rPr>
        <w:t xml:space="preserve">国际合作处：肖毅、翟宏飞 </w:t>
      </w:r>
      <w:r>
        <w:t xml:space="preserve">0991-3680709、0991- </w:t>
      </w:r>
      <w:r>
        <w:rPr>
          <w:spacing w:val="-2"/>
        </w:rPr>
        <w:t>3822201</w:t>
      </w:r>
      <w:bookmarkStart w:id="0" w:name="_GoBack"/>
      <w:bookmarkEnd w:id="0"/>
    </w:p>
    <w:p w14:paraId="771354B3">
      <w:pPr>
        <w:pStyle w:val="4"/>
        <w:spacing w:before="149" w:line="326" w:lineRule="auto"/>
        <w:ind w:left="931" w:right="1554"/>
      </w:pPr>
    </w:p>
    <w:sectPr>
      <w:pgSz w:w="11910" w:h="16840"/>
      <w:pgMar w:top="1920" w:right="1140" w:bottom="1180" w:left="1240" w:header="0" w:footer="9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06F97">
    <w:pPr>
      <w:pStyle w:val="4"/>
      <w:spacing w:line="14" w:lineRule="auto"/>
      <w:ind w:left="0"/>
      <w:rPr>
        <w:sz w:val="20"/>
      </w:rPr>
    </w:pPr>
    <w:r>
      <mc:AlternateContent>
        <mc:Choice Requires="wps">
          <w:drawing>
            <wp:anchor distT="0" distB="0" distL="0" distR="0" simplePos="0" relativeHeight="251659264" behindDoc="1" locked="0" layoutInCell="1" allowOverlap="1">
              <wp:simplePos x="0" y="0"/>
              <wp:positionH relativeFrom="page">
                <wp:posOffset>3713480</wp:posOffset>
              </wp:positionH>
              <wp:positionV relativeFrom="page">
                <wp:posOffset>9920605</wp:posOffset>
              </wp:positionV>
              <wp:extent cx="146050" cy="139700"/>
              <wp:effectExtent l="0" t="0" r="0" b="0"/>
              <wp:wrapNone/>
              <wp:docPr id="1" name="Textbox 1"/>
              <wp:cNvGraphicFramePr/>
              <a:graphic xmlns:a="http://schemas.openxmlformats.org/drawingml/2006/main">
                <a:graphicData uri="http://schemas.microsoft.com/office/word/2010/wordprocessingShape">
                  <wps:wsp>
                    <wps:cNvSpPr txBox="1"/>
                    <wps:spPr>
                      <a:xfrm>
                        <a:off x="0" y="0"/>
                        <a:ext cx="146050" cy="139700"/>
                      </a:xfrm>
                      <a:prstGeom prst="rect">
                        <a:avLst/>
                      </a:prstGeom>
                    </wps:spPr>
                    <wps:txbx>
                      <w:txbxContent>
                        <w:p w14:paraId="65E3FA75">
                          <w:pPr>
                            <w:spacing w:before="0" w:line="220" w:lineRule="exact"/>
                            <w:ind w:left="60" w:right="0" w:firstLine="0"/>
                            <w:jc w:val="left"/>
                            <w:rPr>
                              <w:sz w:val="18"/>
                            </w:rPr>
                          </w:pPr>
                          <w:r>
                            <w:rPr>
                              <w:sz w:val="18"/>
                            </w:rPr>
                            <w:fldChar w:fldCharType="begin"/>
                          </w:r>
                          <w:r>
                            <w:rPr>
                              <w:sz w:val="18"/>
                            </w:rPr>
                            <w:instrText xml:space="preserve"> PAGE </w:instrText>
                          </w:r>
                          <w:r>
                            <w:rPr>
                              <w:sz w:val="18"/>
                            </w:rPr>
                            <w:fldChar w:fldCharType="separate"/>
                          </w:r>
                          <w:r>
                            <w:rPr>
                              <w:sz w:val="18"/>
                            </w:rPr>
                            <w:t>1</w:t>
                          </w:r>
                          <w:r>
                            <w:rPr>
                              <w:sz w:val="18"/>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292.4pt;margin-top:781.15pt;height:11pt;width:11.5pt;mso-position-horizontal-relative:page;mso-position-vertical-relative:page;z-index:-251657216;mso-width-relative:page;mso-height-relative:page;" filled="f" stroked="f" coordsize="21600,21600" o:gfxdata="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B&#10;gCh92gAAAA0BAAAPAAAAAAAAAAEAIAAAACIAAABkcnMvZG93bnJldi54bWxQSwECFAAUAAAACACH&#10;TuJAzlJgmLABAABzAwAADgAAAAAAAAABACAAAAApAQAAZHJzL2Uyb0RvYy54bWxQSwUGAAAAAAYA&#10;BgBZAQAASwUAAAAA&#10;">
              <v:fill on="f" focussize="0,0"/>
              <v:stroke on="f"/>
              <v:imagedata o:title=""/>
              <o:lock v:ext="edit" aspectratio="f"/>
              <v:textbox inset="0mm,0mm,0mm,0mm">
                <w:txbxContent>
                  <w:p w14:paraId="65E3FA75">
                    <w:pPr>
                      <w:spacing w:before="0" w:line="220" w:lineRule="exact"/>
                      <w:ind w:left="60" w:right="0" w:firstLine="0"/>
                      <w:jc w:val="left"/>
                      <w:rPr>
                        <w:sz w:val="18"/>
                      </w:rPr>
                    </w:pPr>
                    <w:r>
                      <w:rPr>
                        <w:sz w:val="18"/>
                      </w:rPr>
                      <w:fldChar w:fldCharType="begin"/>
                    </w:r>
                    <w:r>
                      <w:rPr>
                        <w:sz w:val="18"/>
                      </w:rPr>
                      <w:instrText xml:space="preserve"> PAGE </w:instrText>
                    </w:r>
                    <w:r>
                      <w:rPr>
                        <w:sz w:val="18"/>
                      </w:rPr>
                      <w:fldChar w:fldCharType="separate"/>
                    </w:r>
                    <w:r>
                      <w:rPr>
                        <w:sz w:val="18"/>
                      </w:rPr>
                      <w:t>1</w:t>
                    </w:r>
                    <w:r>
                      <w:rPr>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291" w:hanging="322"/>
        <w:jc w:val="left"/>
      </w:pPr>
      <w:rPr>
        <w:rFonts w:hint="default" w:ascii="仿宋_GB2312" w:hAnsi="仿宋_GB2312" w:eastAsia="仿宋_GB2312" w:cs="仿宋_GB2312"/>
        <w:b w:val="0"/>
        <w:bCs w:val="0"/>
        <w:i w:val="0"/>
        <w:iCs w:val="0"/>
        <w:spacing w:val="-2"/>
        <w:w w:val="99"/>
        <w:sz w:val="30"/>
        <w:szCs w:val="30"/>
        <w:lang w:val="en-US" w:eastAsia="zh-CN" w:bidi="ar-SA"/>
      </w:rPr>
    </w:lvl>
    <w:lvl w:ilvl="1" w:tentative="0">
      <w:start w:val="1"/>
      <w:numFmt w:val="decimal"/>
      <w:lvlText w:val="%1.%2"/>
      <w:lvlJc w:val="left"/>
      <w:pPr>
        <w:ind w:left="291" w:hanging="560"/>
        <w:jc w:val="left"/>
      </w:pPr>
      <w:rPr>
        <w:rFonts w:hint="default" w:ascii="仿宋_GB2312" w:hAnsi="仿宋_GB2312" w:eastAsia="仿宋_GB2312" w:cs="仿宋_GB2312"/>
        <w:b w:val="0"/>
        <w:bCs w:val="0"/>
        <w:i w:val="0"/>
        <w:iCs w:val="0"/>
        <w:spacing w:val="-2"/>
        <w:w w:val="99"/>
        <w:sz w:val="32"/>
        <w:szCs w:val="32"/>
        <w:lang w:val="en-US" w:eastAsia="zh-CN" w:bidi="ar-SA"/>
      </w:rPr>
    </w:lvl>
    <w:lvl w:ilvl="2" w:tentative="0">
      <w:start w:val="0"/>
      <w:numFmt w:val="bullet"/>
      <w:lvlText w:val="•"/>
      <w:lvlJc w:val="left"/>
      <w:pPr>
        <w:ind w:left="2145" w:hanging="560"/>
      </w:pPr>
      <w:rPr>
        <w:rFonts w:hint="default"/>
        <w:lang w:val="en-US" w:eastAsia="zh-CN" w:bidi="ar-SA"/>
      </w:rPr>
    </w:lvl>
    <w:lvl w:ilvl="3" w:tentative="0">
      <w:start w:val="0"/>
      <w:numFmt w:val="bullet"/>
      <w:lvlText w:val="•"/>
      <w:lvlJc w:val="left"/>
      <w:pPr>
        <w:ind w:left="3067" w:hanging="560"/>
      </w:pPr>
      <w:rPr>
        <w:rFonts w:hint="default"/>
        <w:lang w:val="en-US" w:eastAsia="zh-CN" w:bidi="ar-SA"/>
      </w:rPr>
    </w:lvl>
    <w:lvl w:ilvl="4" w:tentative="0">
      <w:start w:val="0"/>
      <w:numFmt w:val="bullet"/>
      <w:lvlText w:val="•"/>
      <w:lvlJc w:val="left"/>
      <w:pPr>
        <w:ind w:left="3990" w:hanging="560"/>
      </w:pPr>
      <w:rPr>
        <w:rFonts w:hint="default"/>
        <w:lang w:val="en-US" w:eastAsia="zh-CN" w:bidi="ar-SA"/>
      </w:rPr>
    </w:lvl>
    <w:lvl w:ilvl="5" w:tentative="0">
      <w:start w:val="0"/>
      <w:numFmt w:val="bullet"/>
      <w:lvlText w:val="•"/>
      <w:lvlJc w:val="left"/>
      <w:pPr>
        <w:ind w:left="4913" w:hanging="560"/>
      </w:pPr>
      <w:rPr>
        <w:rFonts w:hint="default"/>
        <w:lang w:val="en-US" w:eastAsia="zh-CN" w:bidi="ar-SA"/>
      </w:rPr>
    </w:lvl>
    <w:lvl w:ilvl="6" w:tentative="0">
      <w:start w:val="0"/>
      <w:numFmt w:val="bullet"/>
      <w:lvlText w:val="•"/>
      <w:lvlJc w:val="left"/>
      <w:pPr>
        <w:ind w:left="5835" w:hanging="560"/>
      </w:pPr>
      <w:rPr>
        <w:rFonts w:hint="default"/>
        <w:lang w:val="en-US" w:eastAsia="zh-CN" w:bidi="ar-SA"/>
      </w:rPr>
    </w:lvl>
    <w:lvl w:ilvl="7" w:tentative="0">
      <w:start w:val="0"/>
      <w:numFmt w:val="bullet"/>
      <w:lvlText w:val="•"/>
      <w:lvlJc w:val="left"/>
      <w:pPr>
        <w:ind w:left="6758" w:hanging="560"/>
      </w:pPr>
      <w:rPr>
        <w:rFonts w:hint="default"/>
        <w:lang w:val="en-US" w:eastAsia="zh-CN" w:bidi="ar-SA"/>
      </w:rPr>
    </w:lvl>
    <w:lvl w:ilvl="8" w:tentative="0">
      <w:start w:val="0"/>
      <w:numFmt w:val="bullet"/>
      <w:lvlText w:val="•"/>
      <w:lvlJc w:val="left"/>
      <w:pPr>
        <w:ind w:left="7680" w:hanging="560"/>
      </w:pPr>
      <w:rPr>
        <w:rFonts w:hint="default"/>
        <w:lang w:val="en-US" w:eastAsia="zh-CN" w:bidi="ar-SA"/>
      </w:rPr>
    </w:lvl>
  </w:abstractNum>
  <w:abstractNum w:abstractNumId="1">
    <w:nsid w:val="0053208E"/>
    <w:multiLevelType w:val="multilevel"/>
    <w:tmpl w:val="0053208E"/>
    <w:lvl w:ilvl="0" w:tentative="0">
      <w:start w:val="1"/>
      <w:numFmt w:val="decimal"/>
      <w:lvlText w:val="%1."/>
      <w:lvlJc w:val="left"/>
      <w:pPr>
        <w:ind w:left="1253" w:hanging="322"/>
        <w:jc w:val="left"/>
      </w:pPr>
      <w:rPr>
        <w:rFonts w:hint="default" w:ascii="仿宋_GB2312" w:hAnsi="仿宋_GB2312" w:eastAsia="仿宋_GB2312" w:cs="仿宋_GB2312"/>
        <w:b w:val="0"/>
        <w:bCs w:val="0"/>
        <w:i w:val="0"/>
        <w:iCs w:val="0"/>
        <w:spacing w:val="-2"/>
        <w:w w:val="99"/>
        <w:sz w:val="30"/>
        <w:szCs w:val="30"/>
        <w:lang w:val="en-US" w:eastAsia="zh-CN" w:bidi="ar-SA"/>
      </w:rPr>
    </w:lvl>
    <w:lvl w:ilvl="1" w:tentative="0">
      <w:start w:val="0"/>
      <w:numFmt w:val="bullet"/>
      <w:lvlText w:val="•"/>
      <w:lvlJc w:val="left"/>
      <w:pPr>
        <w:ind w:left="2086" w:hanging="322"/>
      </w:pPr>
      <w:rPr>
        <w:rFonts w:hint="default"/>
        <w:lang w:val="en-US" w:eastAsia="zh-CN" w:bidi="ar-SA"/>
      </w:rPr>
    </w:lvl>
    <w:lvl w:ilvl="2" w:tentative="0">
      <w:start w:val="0"/>
      <w:numFmt w:val="bullet"/>
      <w:lvlText w:val="•"/>
      <w:lvlJc w:val="left"/>
      <w:pPr>
        <w:ind w:left="2913" w:hanging="322"/>
      </w:pPr>
      <w:rPr>
        <w:rFonts w:hint="default"/>
        <w:lang w:val="en-US" w:eastAsia="zh-CN" w:bidi="ar-SA"/>
      </w:rPr>
    </w:lvl>
    <w:lvl w:ilvl="3" w:tentative="0">
      <w:start w:val="0"/>
      <w:numFmt w:val="bullet"/>
      <w:lvlText w:val="•"/>
      <w:lvlJc w:val="left"/>
      <w:pPr>
        <w:ind w:left="3739" w:hanging="322"/>
      </w:pPr>
      <w:rPr>
        <w:rFonts w:hint="default"/>
        <w:lang w:val="en-US" w:eastAsia="zh-CN" w:bidi="ar-SA"/>
      </w:rPr>
    </w:lvl>
    <w:lvl w:ilvl="4" w:tentative="0">
      <w:start w:val="0"/>
      <w:numFmt w:val="bullet"/>
      <w:lvlText w:val="•"/>
      <w:lvlJc w:val="left"/>
      <w:pPr>
        <w:ind w:left="4566" w:hanging="322"/>
      </w:pPr>
      <w:rPr>
        <w:rFonts w:hint="default"/>
        <w:lang w:val="en-US" w:eastAsia="zh-CN" w:bidi="ar-SA"/>
      </w:rPr>
    </w:lvl>
    <w:lvl w:ilvl="5" w:tentative="0">
      <w:start w:val="0"/>
      <w:numFmt w:val="bullet"/>
      <w:lvlText w:val="•"/>
      <w:lvlJc w:val="left"/>
      <w:pPr>
        <w:ind w:left="5393" w:hanging="322"/>
      </w:pPr>
      <w:rPr>
        <w:rFonts w:hint="default"/>
        <w:lang w:val="en-US" w:eastAsia="zh-CN" w:bidi="ar-SA"/>
      </w:rPr>
    </w:lvl>
    <w:lvl w:ilvl="6" w:tentative="0">
      <w:start w:val="0"/>
      <w:numFmt w:val="bullet"/>
      <w:lvlText w:val="•"/>
      <w:lvlJc w:val="left"/>
      <w:pPr>
        <w:ind w:left="6219" w:hanging="322"/>
      </w:pPr>
      <w:rPr>
        <w:rFonts w:hint="default"/>
        <w:lang w:val="en-US" w:eastAsia="zh-CN" w:bidi="ar-SA"/>
      </w:rPr>
    </w:lvl>
    <w:lvl w:ilvl="7" w:tentative="0">
      <w:start w:val="0"/>
      <w:numFmt w:val="bullet"/>
      <w:lvlText w:val="•"/>
      <w:lvlJc w:val="left"/>
      <w:pPr>
        <w:ind w:left="7046" w:hanging="322"/>
      </w:pPr>
      <w:rPr>
        <w:rFonts w:hint="default"/>
        <w:lang w:val="en-US" w:eastAsia="zh-CN" w:bidi="ar-SA"/>
      </w:rPr>
    </w:lvl>
    <w:lvl w:ilvl="8" w:tentative="0">
      <w:start w:val="0"/>
      <w:numFmt w:val="bullet"/>
      <w:lvlText w:val="•"/>
      <w:lvlJc w:val="left"/>
      <w:pPr>
        <w:ind w:left="7872" w:hanging="322"/>
      </w:pPr>
      <w:rPr>
        <w:rFonts w:hint="default"/>
        <w:lang w:val="en-US" w:eastAsia="zh-CN"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071E1F77"/>
    <w:rsid w:val="0BA87610"/>
    <w:rsid w:val="1EB115BF"/>
    <w:rsid w:val="2B030519"/>
    <w:rsid w:val="2EC03EBA"/>
    <w:rsid w:val="52417FBB"/>
    <w:rsid w:val="577944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zh-CN" w:bidi="ar-SA"/>
    </w:rPr>
  </w:style>
  <w:style w:type="paragraph" w:styleId="2">
    <w:name w:val="heading 1"/>
    <w:basedOn w:val="1"/>
    <w:next w:val="1"/>
    <w:qFormat/>
    <w:uiPriority w:val="1"/>
    <w:pPr>
      <w:ind w:left="365" w:right="458"/>
      <w:jc w:val="center"/>
      <w:outlineLvl w:val="1"/>
    </w:pPr>
    <w:rPr>
      <w:rFonts w:ascii="方正小标宋_GBK" w:hAnsi="方正小标宋_GBK" w:eastAsia="方正小标宋_GBK" w:cs="方正小标宋_GBK"/>
      <w:sz w:val="44"/>
      <w:szCs w:val="44"/>
      <w:lang w:val="en-US" w:eastAsia="zh-CN" w:bidi="ar-SA"/>
    </w:rPr>
  </w:style>
  <w:style w:type="paragraph" w:styleId="3">
    <w:name w:val="heading 2"/>
    <w:basedOn w:val="1"/>
    <w:next w:val="1"/>
    <w:qFormat/>
    <w:uiPriority w:val="1"/>
    <w:pPr>
      <w:ind w:left="931"/>
      <w:outlineLvl w:val="2"/>
    </w:pPr>
    <w:rPr>
      <w:rFonts w:ascii="黑体" w:hAnsi="黑体" w:eastAsia="黑体" w:cs="黑体"/>
      <w:b/>
      <w:bCs/>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291"/>
    </w:pPr>
    <w:rPr>
      <w:rFonts w:ascii="仿宋_GB2312" w:hAnsi="仿宋_GB2312" w:eastAsia="仿宋_GB2312" w:cs="仿宋_GB2312"/>
      <w:sz w:val="32"/>
      <w:szCs w:val="32"/>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291" w:right="593" w:firstLine="640"/>
    </w:pPr>
    <w:rPr>
      <w:rFonts w:ascii="仿宋_GB2312" w:hAnsi="仿宋_GB2312" w:eastAsia="仿宋_GB2312" w:cs="仿宋_GB2312"/>
      <w:lang w:val="en-US" w:eastAsia="zh-CN" w:bidi="ar-SA"/>
    </w:rPr>
  </w:style>
  <w:style w:type="paragraph" w:customStyle="1" w:styleId="9">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2666</Words>
  <Characters>2741</Characters>
  <TotalTime>7</TotalTime>
  <ScaleCrop>false</ScaleCrop>
  <LinksUpToDate>false</LinksUpToDate>
  <CharactersWithSpaces>2775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2025-05-30T11:34:00Z</dcterms:created>
  <dc:creator>WPS_1528036543</dc:creator>
  <cp:lastModifiedBy>Administrator</cp:lastModifiedBy>
  <dcterms:modified xsi:type="dcterms:W3CDTF">2025-05-30T13:30:49Z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2025-05-30T00:00:00Z</vt:filetime>
  </property>
  <property fmtid="{D5CDD505-2E9C-101B-9397-08002B2CF9AE}" pid="3" name="Creator">
    <vt:lpwstr>WPS 文字</vt:lpwstr>
  </property>
  <property fmtid="{D5CDD505-2E9C-101B-9397-08002B2CF9AE}" pid="4" name="LastSaved">
    <vt:filetime>2025-05-30T00:00:00Z</vt:filetime>
  </property>
  <property fmtid="{D5CDD505-2E9C-101B-9397-08002B2CF9AE}" pid="5" name="KSOTemplateDocerSaveRecord">
    <vt:lpwstr>eyJoZGlkIjoiZjZiYmRiNmVhOGU2MWJkODc0NzU0ZDllMTY0NzAxYzEifQ==</vt:lpwstr>
  </property>
  <property fmtid="{D5CDD505-2E9C-101B-9397-08002B2CF9AE}" pid="6" name="KSOProductBuildVer">
    <vt:lpwstr>2052-12.1.0.21171</vt:lpwstr>
  </property>
  <property fmtid="{D5CDD505-2E9C-101B-9397-08002B2CF9AE}" pid="7" name="ICV">
    <vt:lpwstr>41E26DDEF75741048951798C8F027C00_12</vt:lpwstr>
  </property>
</Properties>
</file>