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4BCB9">
      <w:pPr>
        <w:spacing w:line="600" w:lineRule="exact"/>
        <w:jc w:val="left"/>
        <w:rPr>
          <w:rFonts w:ascii="Times New Roman" w:hAnsi="Times New Roman" w:eastAsia="方正小标宋_GBK" w:cs="Times New Roman"/>
          <w:sz w:val="44"/>
          <w:szCs w:val="44"/>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3</w:t>
      </w:r>
    </w:p>
    <w:p w14:paraId="5348E1E4">
      <w:pPr>
        <w:spacing w:before="156" w:beforeLines="5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4</w:t>
      </w:r>
      <w:r>
        <w:rPr>
          <w:rFonts w:ascii="Times New Roman" w:hAnsi="Times New Roman" w:eastAsia="方正小标宋_GBK" w:cs="Times New Roman"/>
          <w:sz w:val="44"/>
          <w:szCs w:val="44"/>
        </w:rPr>
        <w:t>年度人口健康专项申报指南</w:t>
      </w:r>
    </w:p>
    <w:p w14:paraId="2E0EDC1E">
      <w:pPr>
        <w:jc w:val="left"/>
        <w:rPr>
          <w:rFonts w:hint="eastAsia" w:ascii="方正仿宋_GBK" w:hAnsi="方正仿宋_GBK" w:eastAsia="方正仿宋_GBK" w:cs="方正仿宋_GBK"/>
          <w:sz w:val="32"/>
          <w:szCs w:val="32"/>
        </w:rPr>
      </w:pPr>
    </w:p>
    <w:p w14:paraId="0B1F4125">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项目一：AI+多模态医学影像精准诊断技术研发与应用</w:t>
      </w:r>
    </w:p>
    <w:p w14:paraId="4912DE8A">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针对超声、X射线、CT、MRI类和内窥镜单独结合人工智能诊断</w:t>
      </w:r>
      <w:r>
        <w:rPr>
          <w:rFonts w:hint="eastAsia" w:ascii="方正仿宋_GBK" w:hAnsi="方正仿宋_GBK" w:eastAsia="方正仿宋_GBK" w:cs="方正仿宋_GBK"/>
          <w:color w:val="000000" w:themeColor="text1"/>
          <w:sz w:val="32"/>
          <w:szCs w:val="32"/>
          <w14:textFill>
            <w14:solidFill>
              <w14:schemeClr w14:val="tx1"/>
            </w14:solidFill>
          </w14:textFill>
        </w:rPr>
        <w:t>准确度低、定位困难、</w:t>
      </w:r>
      <w:r>
        <w:rPr>
          <w:rFonts w:ascii="方正仿宋_GBK" w:eastAsia="方正仿宋_GBK"/>
          <w:color w:val="000000" w:themeColor="text1"/>
          <w:sz w:val="32"/>
          <w:szCs w:val="32"/>
          <w14:textFill>
            <w14:solidFill>
              <w14:schemeClr w14:val="tx1"/>
            </w14:solidFill>
          </w14:textFill>
        </w:rPr>
        <w:t>缺乏</w:t>
      </w:r>
      <w:r>
        <w:rPr>
          <w:rFonts w:hint="eastAsia" w:ascii="方正仿宋_GBK" w:eastAsia="方正仿宋_GBK"/>
          <w:color w:val="000000" w:themeColor="text1"/>
          <w:sz w:val="32"/>
          <w:szCs w:val="32"/>
          <w14:textFill>
            <w14:solidFill>
              <w14:schemeClr w14:val="tx1"/>
            </w14:solidFill>
          </w14:textFill>
        </w:rPr>
        <w:t>融合</w:t>
      </w:r>
      <w:r>
        <w:rPr>
          <w:rFonts w:ascii="方正仿宋_GBK" w:eastAsia="方正仿宋_GBK"/>
          <w:color w:val="000000" w:themeColor="text1"/>
          <w:sz w:val="32"/>
          <w:szCs w:val="32"/>
          <w14:textFill>
            <w14:solidFill>
              <w14:schemeClr w14:val="tx1"/>
            </w14:solidFill>
          </w14:textFill>
        </w:rPr>
        <w:t>算法及模型</w:t>
      </w:r>
      <w:r>
        <w:rPr>
          <w:rFonts w:hint="eastAsia" w:ascii="方正仿宋_GBK" w:eastAsia="方正仿宋_GBK"/>
          <w:color w:val="000000" w:themeColor="text1"/>
          <w:sz w:val="32"/>
          <w:szCs w:val="32"/>
          <w14:textFill>
            <w14:solidFill>
              <w14:schemeClr w14:val="tx1"/>
            </w14:solidFill>
          </w14:textFill>
        </w:rPr>
        <w:t>的临床诊断重大需求问题，研发</w:t>
      </w:r>
      <w:r>
        <w:rPr>
          <w:rFonts w:hint="eastAsia" w:ascii="方正仿宋_GBK" w:hAnsi="方正仿宋_GBK" w:eastAsia="方正仿宋_GBK" w:cs="方正仿宋_GBK"/>
          <w:color w:val="000000" w:themeColor="text1"/>
          <w:sz w:val="32"/>
          <w:szCs w:val="32"/>
          <w14:textFill>
            <w14:solidFill>
              <w14:schemeClr w14:val="tx1"/>
            </w14:solidFill>
          </w14:textFill>
        </w:rPr>
        <w:t>影像组学、放射影像、超声影像、基因和临床大数据融合技术，利用医学影像和临床诊疗数据，通过深度学习、计算机视觉、跨模态影像重建技术等人工智能技术，创新高精度图像重建、图像分割配准融合、图像计算加速、图像三维可视化等算法模型，构建</w:t>
      </w:r>
      <w:r>
        <w:rPr>
          <w:rFonts w:hint="eastAsia" w:ascii="方正仿宋_GBK" w:eastAsia="方正仿宋_GBK"/>
          <w:color w:val="000000" w:themeColor="text1"/>
          <w:sz w:val="32"/>
          <w:szCs w:val="32"/>
          <w14:textFill>
            <w14:solidFill>
              <w14:schemeClr w14:val="tx1"/>
            </w14:solidFill>
          </w14:textFill>
        </w:rPr>
        <w:t>融合多模态影像</w:t>
      </w:r>
      <w:r>
        <w:rPr>
          <w:rFonts w:ascii="方正仿宋_GBK" w:eastAsia="方正仿宋_GBK"/>
          <w:color w:val="000000" w:themeColor="text1"/>
          <w:sz w:val="32"/>
          <w:szCs w:val="32"/>
          <w14:textFill>
            <w14:solidFill>
              <w14:schemeClr w14:val="tx1"/>
            </w14:solidFill>
          </w14:textFill>
        </w:rPr>
        <w:t>辅助诊断</w:t>
      </w:r>
      <w:r>
        <w:rPr>
          <w:rFonts w:hint="eastAsia" w:ascii="方正仿宋_GBK" w:eastAsia="方正仿宋_GBK"/>
          <w:color w:val="000000" w:themeColor="text1"/>
          <w:sz w:val="32"/>
          <w:szCs w:val="32"/>
          <w14:textFill>
            <w14:solidFill>
              <w14:schemeClr w14:val="tx1"/>
            </w14:solidFill>
          </w14:textFill>
        </w:rPr>
        <w:t>体系，</w:t>
      </w:r>
      <w:r>
        <w:rPr>
          <w:rFonts w:hint="eastAsia" w:ascii="方正仿宋_GBK" w:hAnsi="方正仿宋_GBK" w:eastAsia="方正仿宋_GBK" w:cs="方正仿宋_GBK"/>
          <w:color w:val="000000" w:themeColor="text1"/>
          <w:sz w:val="32"/>
          <w:szCs w:val="32"/>
          <w14:textFill>
            <w14:solidFill>
              <w14:schemeClr w14:val="tx1"/>
            </w14:solidFill>
          </w14:textFill>
        </w:rPr>
        <w:t>提升影像辅助重大疾病诊疗准确性</w:t>
      </w:r>
      <w:r>
        <w:rPr>
          <w:rFonts w:hint="eastAsia" w:ascii="Times New Roman" w:hAnsi="Times New Roman" w:eastAsia="方正仿宋_GBK" w:cs="方正仿宋_GBK"/>
          <w:sz w:val="32"/>
          <w:szCs w:val="32"/>
        </w:rPr>
        <w:t>。</w:t>
      </w:r>
    </w:p>
    <w:p w14:paraId="73F03384">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研发融合多种不同影像模态数据的多模态影像系统及辅助诊断软件1套，可</w:t>
      </w:r>
      <w:r>
        <w:rPr>
          <w:rFonts w:ascii="方正仿宋_GBK" w:eastAsia="方正仿宋_GBK"/>
          <w:color w:val="000000" w:themeColor="text1"/>
          <w:sz w:val="32"/>
          <w:szCs w:val="32"/>
          <w14:textFill>
            <w14:solidFill>
              <w14:schemeClr w14:val="tx1"/>
            </w14:solidFill>
          </w14:textFill>
        </w:rPr>
        <w:t>实时处理并分析</w:t>
      </w:r>
      <w:r>
        <w:rPr>
          <w:rFonts w:hint="eastAsia" w:ascii="方正仿宋_GBK" w:eastAsia="方正仿宋_GBK"/>
          <w:color w:val="000000" w:themeColor="text1"/>
          <w:sz w:val="32"/>
          <w:szCs w:val="32"/>
          <w14:textFill>
            <w14:solidFill>
              <w14:schemeClr w14:val="tx1"/>
            </w14:solidFill>
          </w14:textFill>
        </w:rPr>
        <w:t>输入</w:t>
      </w:r>
      <w:r>
        <w:rPr>
          <w:rFonts w:ascii="方正仿宋_GBK" w:eastAsia="方正仿宋_GBK"/>
          <w:color w:val="000000" w:themeColor="text1"/>
          <w:sz w:val="32"/>
          <w:szCs w:val="32"/>
          <w14:textFill>
            <w14:solidFill>
              <w14:schemeClr w14:val="tx1"/>
            </w14:solidFill>
          </w14:textFill>
        </w:rPr>
        <w:t>影像，响应时间＜3秒</w:t>
      </w:r>
      <w:r>
        <w:rPr>
          <w:rFonts w:hint="eastAsia" w:ascii="方正仿宋_GBK" w:eastAsia="方正仿宋_GBK"/>
          <w:color w:val="000000" w:themeColor="text1"/>
          <w:sz w:val="32"/>
          <w:szCs w:val="32"/>
          <w14:textFill>
            <w14:solidFill>
              <w14:schemeClr w14:val="tx1"/>
            </w14:solidFill>
          </w14:textFill>
        </w:rPr>
        <w:t>；开发融合于医院CT扫描设备及医生读片系统的辅助诊断软件一套；</w:t>
      </w:r>
      <w:r>
        <w:rPr>
          <w:rFonts w:ascii="方正仿宋_GBK" w:eastAsia="方正仿宋_GBK"/>
          <w:color w:val="000000" w:themeColor="text1"/>
          <w:sz w:val="32"/>
          <w:szCs w:val="32"/>
          <w14:textFill>
            <w14:solidFill>
              <w14:schemeClr w14:val="tx1"/>
            </w14:solidFill>
          </w14:textFill>
        </w:rPr>
        <w:t>在大规模临床验证中，</w:t>
      </w:r>
      <w:r>
        <w:rPr>
          <w:rFonts w:hint="eastAsia" w:ascii="方正仿宋_GBK" w:eastAsia="方正仿宋_GBK"/>
          <w:color w:val="000000" w:themeColor="text1"/>
          <w:sz w:val="32"/>
          <w:szCs w:val="32"/>
          <w14:textFill>
            <w14:solidFill>
              <w14:schemeClr w14:val="tx1"/>
            </w14:solidFill>
          </w14:textFill>
        </w:rPr>
        <w:t>疾病诊断准确率</w:t>
      </w:r>
      <w:r>
        <w:rPr>
          <w:rFonts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14:textFill>
            <w14:solidFill>
              <w14:schemeClr w14:val="tx1"/>
            </w14:solidFill>
          </w14:textFill>
        </w:rPr>
        <w:t>8</w:t>
      </w:r>
      <w:r>
        <w:rPr>
          <w:rFonts w:ascii="方正仿宋_GBK" w:eastAsia="方正仿宋_GBK"/>
          <w:color w:val="000000" w:themeColor="text1"/>
          <w:sz w:val="32"/>
          <w:szCs w:val="32"/>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，独立外部集验证AUC</w:t>
      </w:r>
      <w:r>
        <w:rPr>
          <w:rFonts w:ascii="方正仿宋_GBK" w:eastAsia="方正仿宋_GBK"/>
          <w:color w:val="000000" w:themeColor="text1"/>
          <w:sz w:val="32"/>
          <w:szCs w:val="32"/>
          <w14:textFill>
            <w14:solidFill>
              <w14:schemeClr w14:val="tx1"/>
            </w14:solidFill>
          </w14:textFill>
        </w:rPr>
        <w:t>≥0.85</w:t>
      </w:r>
      <w:r>
        <w:rPr>
          <w:rFonts w:hint="eastAsia" w:ascii="方正仿宋_GBK" w:eastAsia="方正仿宋_GBK"/>
          <w:color w:val="000000" w:themeColor="text1"/>
          <w:sz w:val="32"/>
          <w:szCs w:val="32"/>
          <w14:textFill>
            <w14:solidFill>
              <w14:schemeClr w14:val="tx1"/>
            </w14:solidFill>
          </w14:textFill>
        </w:rPr>
        <w:t>，在3家以上医院进行推广应用</w:t>
      </w:r>
      <w:r>
        <w:rPr>
          <w:rFonts w:hint="eastAsia" w:ascii="Times New Roman" w:hAnsi="Times New Roman" w:eastAsia="方正仿宋_GBK" w:cs="方正仿宋_GBK"/>
          <w:sz w:val="32"/>
          <w:szCs w:val="32"/>
        </w:rPr>
        <w:t>。</w:t>
      </w:r>
    </w:p>
    <w:p w14:paraId="60F5318F">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397B164A">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4212D878">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68074749">
      <w:pPr>
        <w:ind w:left="638" w:leftChars="304"/>
        <w:rPr>
          <w:rFonts w:hint="eastAsia" w:ascii="方正仿宋_GBK" w:hAnsi="方正仿宋_GBK" w:eastAsia="方正仿宋_GBK" w:cs="方正仿宋_GBK"/>
          <w:sz w:val="32"/>
          <w:szCs w:val="32"/>
        </w:rPr>
      </w:pPr>
      <w:r>
        <w:rPr>
          <w:rFonts w:ascii="Times New Roman" w:hAnsi="Times New Roman" w:eastAsia="方正楷体_GBK" w:cs="Times New Roman"/>
          <w:color w:val="000000"/>
          <w:sz w:val="32"/>
          <w:szCs w:val="32"/>
        </w:rPr>
        <w:t>6.申报条件：</w:t>
      </w:r>
      <w:r>
        <w:rPr>
          <w:rFonts w:hint="eastAsia" w:ascii="方正仿宋_GBK" w:hAnsi="方正仿宋_GBK" w:eastAsia="方正仿宋_GBK" w:cs="方正仿宋_GBK"/>
          <w:sz w:val="32"/>
          <w:szCs w:val="32"/>
        </w:rPr>
        <w:t>医疗机构、高校或科研院所牵头，鼓励产</w:t>
      </w:r>
    </w:p>
    <w:p w14:paraId="291188E4">
      <w:pPr>
        <w:ind w:left="640" w:hanging="640" w:hanging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学研合作。</w:t>
      </w:r>
    </w:p>
    <w:p w14:paraId="7A46B799">
      <w:pPr>
        <w:ind w:left="638" w:leftChars="304" w:firstLine="0" w:firstLineChars="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05FE60FF">
      <w:pPr>
        <w:spacing w:line="360" w:lineRule="auto"/>
        <w:ind w:firstLine="643" w:firstLineChars="200"/>
        <w:rPr>
          <w:rFonts w:ascii="Times New Roman" w:hAnsi="Times New Roman" w:eastAsia="方正仿宋_GBK" w:cs="方正仿宋_GBK"/>
          <w:b/>
          <w:bCs/>
          <w:sz w:val="32"/>
          <w:szCs w:val="32"/>
        </w:rPr>
      </w:pPr>
    </w:p>
    <w:p w14:paraId="0ADBC638">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项目二：AI+衰老风险评估与预警关键技术研究与应用</w:t>
      </w:r>
    </w:p>
    <w:p w14:paraId="2C5012EF">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人口老龄化的加剧和衰老诱发的器官再生衰退、老年人生活质量下降等人口健康领域医学问题。借助AI高效率、高精度的优势，开发现代生物学的新模型系统和新兴工具，挖掘衰老的干预靶标，筛选出疗效与安全性俱佳的抗衰老健康产品，制定抗衰老干预策略</w:t>
      </w:r>
      <w:r>
        <w:rPr>
          <w:rFonts w:hint="eastAsia" w:ascii="Times New Roman" w:hAnsi="Times New Roman" w:eastAsia="方正仿宋_GBK" w:cs="方正仿宋_GBK"/>
          <w:sz w:val="32"/>
          <w:szCs w:val="32"/>
        </w:rPr>
        <w:t>。</w:t>
      </w:r>
    </w:p>
    <w:p w14:paraId="16F32455">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利用深度学习技术筛选出2-3个血液、转录组、微生物组等多项老化与长寿的生物标志物，用于评估个体的生理年龄；筛选和鉴定2-3个针对特定个体的药物靶点；建立衰老风险评估预警系统1套，在3家以上医院进行推广应用</w:t>
      </w:r>
      <w:r>
        <w:rPr>
          <w:rFonts w:hint="eastAsia" w:ascii="Times New Roman" w:hAnsi="Times New Roman" w:eastAsia="方正仿宋_GBK" w:cs="方正仿宋_GBK"/>
          <w:sz w:val="32"/>
          <w:szCs w:val="32"/>
        </w:rPr>
        <w:t>。</w:t>
      </w:r>
    </w:p>
    <w:p w14:paraId="08C58BA0">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1D8A3C30">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5B33C6B7">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6B032835">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6C5B4D0B">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05A794CA">
      <w:pPr>
        <w:pStyle w:val="2"/>
        <w:spacing w:line="360" w:lineRule="auto"/>
        <w:ind w:left="638" w:leftChars="304"/>
        <w:rPr>
          <w:rFonts w:ascii="Times New Roman" w:hAnsi="Times New Roman" w:eastAsia="方正仿宋_GBK" w:cs="方正仿宋_GBK"/>
          <w:b w:val="0"/>
          <w:bCs w:val="0"/>
          <w:sz w:val="32"/>
          <w:szCs w:val="32"/>
        </w:rPr>
      </w:pPr>
    </w:p>
    <w:p w14:paraId="0903AB2E">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项目三：AI+重大疾病表型分型技术研发与应用</w:t>
      </w:r>
    </w:p>
    <w:p w14:paraId="6CCAB41D">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恶性疾病诊断标志物缺乏、诊断准确率低，诊疗方案针对性差，亟需提升表型分型技术水平或算法的重大需求。利用重大疾病队列（淋巴瘤、食管癌、甲状腺癌、胃癌、血液肿瘤、神经系统肿瘤、遗传罕见病等）、疾病相关国内外数据库，前沿检测技术，开展多维度、动态的深度表型组数据集或具有疾病相关的时空组学分子标志物研究，构建多病种表型组学健康数据库或单病种多组学表型数据库；借助人工智能结合国际前沿检测技术或医学大数据，研究高维数据算法，明确疾病的最新表型特征以及疾病之间的关联，开发疾病的精准分型分级和风险评估的高新技术和疾病表型组智慧信息系统，提升重大疾病诊断准确率</w:t>
      </w:r>
      <w:r>
        <w:rPr>
          <w:rFonts w:hint="eastAsia" w:ascii="Times New Roman" w:hAnsi="Times New Roman" w:eastAsia="方正仿宋_GBK" w:cs="方正仿宋_GBK"/>
          <w:sz w:val="32"/>
          <w:szCs w:val="32"/>
        </w:rPr>
        <w:t>。</w:t>
      </w:r>
    </w:p>
    <w:p w14:paraId="376CA36A">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建立人工智能诊断系统或高新检测技术平台，针对特定恶性疾病评估体系能覆盖90%以上的亚型，满足诊断符合率超过90%，预后准确率大于90%；面向特定恶性疾病建立至少一种肿瘤细胞微环境演化模型，鉴定1-2种特定肿瘤与环境相互作用机制；构建3个专病的深度表型组数据库或与诊断相关的数据处理前沿算法，支持包括结构化和非结构化数据的数据存储系统</w:t>
      </w:r>
      <w:r>
        <w:rPr>
          <w:rFonts w:hint="eastAsia" w:ascii="Times New Roman" w:hAnsi="Times New Roman" w:eastAsia="方正仿宋_GBK" w:cs="方正仿宋_GBK"/>
          <w:sz w:val="32"/>
          <w:szCs w:val="32"/>
        </w:rPr>
        <w:t>。</w:t>
      </w:r>
    </w:p>
    <w:p w14:paraId="5DC5DC1E">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0A9A5719">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5E0C18A5">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35B3B366">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111A657C">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3CB3FCF8">
      <w:pPr>
        <w:pStyle w:val="2"/>
        <w:spacing w:line="360" w:lineRule="auto"/>
        <w:ind w:left="638" w:leftChars="304"/>
        <w:rPr>
          <w:rFonts w:ascii="Times New Roman" w:hAnsi="Times New Roman" w:eastAsia="方正仿宋_GBK" w:cs="方正仿宋_GBK"/>
          <w:b w:val="0"/>
          <w:bCs w:val="0"/>
          <w:sz w:val="32"/>
          <w:szCs w:val="32"/>
        </w:rPr>
      </w:pPr>
    </w:p>
    <w:p w14:paraId="5FFC9567">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项目四：恶性肿瘤靶向诊疗关键技术研究与应用</w:t>
      </w:r>
    </w:p>
    <w:p w14:paraId="77FC6C0D">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重庆市实体恶性肿瘤难治愈、传统手术人体伤害大，术后复发率高、转移率强，放疗/化疗诱导的高耐药性和细胞毒性等问题。分析靶向治疗中发生过程中的肿瘤克隆演进规律及其机制，寻找出相应的基因组学/表观基因组学靶点，设计靶向恶性肿瘤的精准识别探针，挖掘适合我国肿瘤患者精准治疗策略，延长患者的生存时间，推动临床肿瘤学科的研究范式和精准转化提供新的可能。</w:t>
      </w:r>
    </w:p>
    <w:p w14:paraId="29CA348C">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开发2-3种癌症靶向探针诊疗技术；建立肿瘤靶点高通量筛选技术，挖掘3～5个特异靶点；建成1套基因组背景和肿瘤特征关联数据库并实现全市共享；开发1套智能化系统监测和评估系统。</w:t>
      </w:r>
    </w:p>
    <w:p w14:paraId="4D4EA238">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5CB2237F">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3908A138">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4AC744E1">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1B1DB245">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5D4CBB22">
      <w:pPr>
        <w:pStyle w:val="2"/>
        <w:spacing w:line="360" w:lineRule="auto"/>
        <w:ind w:left="638" w:leftChars="304"/>
        <w:rPr>
          <w:rFonts w:ascii="Times New Roman" w:hAnsi="Times New Roman" w:eastAsia="方正仿宋_GBK" w:cs="方正仿宋_GBK"/>
          <w:b w:val="0"/>
          <w:bCs w:val="0"/>
          <w:sz w:val="32"/>
          <w:szCs w:val="32"/>
        </w:rPr>
      </w:pPr>
    </w:p>
    <w:p w14:paraId="63B3FEC9">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项目五：肿癌类器官高通量药物筛选关键技术的研究与应用</w:t>
      </w:r>
    </w:p>
    <w:p w14:paraId="0B425364">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中国重大慢性疾病（如肿瘤）等的药物筛选和药物不良反应评估困难等问题。通过构建具有国际领先水平，多模态模拟疾病常见的类器官或类器官芯片，实现从亚细胞-单细胞-细胞网络-类器官的结构功能多模态全面精准评估；指导精准研究重大疾病发生发展机制，为肿瘤类器官高通量药物筛选和指导临床个体化用药等提供有效策略</w:t>
      </w:r>
      <w:r>
        <w:rPr>
          <w:rFonts w:hint="eastAsia" w:ascii="Times New Roman" w:hAnsi="Times New Roman" w:eastAsia="方正仿宋_GBK" w:cs="方正仿宋_GBK"/>
          <w:sz w:val="32"/>
          <w:szCs w:val="32"/>
        </w:rPr>
        <w:t>。</w:t>
      </w:r>
    </w:p>
    <w:p w14:paraId="0A85EC29">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建立有效的肿瘤类器官构建技术，获得 2-3种进入临床试验的类器官。建立包含免疫细胞、多细胞类型的复杂类器官互作模型，发掘1~2种疾病诊疗的新靶标，开发1~2种诊疗新策略</w:t>
      </w:r>
      <w:r>
        <w:rPr>
          <w:rFonts w:hint="eastAsia" w:ascii="Times New Roman" w:hAnsi="Times New Roman" w:eastAsia="方正仿宋_GBK" w:cs="方正仿宋_GBK"/>
          <w:sz w:val="32"/>
          <w:szCs w:val="32"/>
        </w:rPr>
        <w:t>。</w:t>
      </w:r>
    </w:p>
    <w:p w14:paraId="4EC1A9A6">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76962D74">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7A5AA769">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1BB52479">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02D5531F">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4CE275FF">
      <w:pPr>
        <w:pStyle w:val="2"/>
        <w:spacing w:line="360" w:lineRule="auto"/>
        <w:ind w:left="638" w:leftChars="304"/>
        <w:rPr>
          <w:rFonts w:ascii="Times New Roman" w:hAnsi="Times New Roman" w:eastAsia="方正仿宋_GBK" w:cs="方正仿宋_GBK"/>
          <w:b w:val="0"/>
          <w:bCs w:val="0"/>
          <w:sz w:val="32"/>
          <w:szCs w:val="32"/>
        </w:rPr>
      </w:pPr>
    </w:p>
    <w:p w14:paraId="26D59826">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项目六：基于增强现实导航的重大疾病微创手术治疗关键技术研发与应用</w:t>
      </w:r>
    </w:p>
    <w:p w14:paraId="6B3AB27C">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脊柱、肝脏、纵隔、肺门及脑部等疾病在微创手术治疗时存在病灶定位难等难点问题。开展微创介入手术导航系统、仿真教学及远程教学应用研究。通过建立围绕重大疾病多中心队列（如肺癌、肝癌、纵隔肿瘤等）疑难病例微创手术数据教学集，利用增强现实技术和光学可视化技术，创新研发光学可视化导航系统和增强现实仿真教学系统，研发三维重建、图像融合、靶区迁移、人机交互、远程控制算法及模型，构建微创手术路径高精度可视化定位和低延时人机交互体系以及构建疑难病例仿真、远程会诊和远程导航的远程指导与教学体系，提升手术治疗的精准性、安全性、有效性</w:t>
      </w:r>
      <w:r>
        <w:rPr>
          <w:rFonts w:hint="eastAsia" w:ascii="Times New Roman" w:hAnsi="Times New Roman" w:eastAsia="方正仿宋_GBK" w:cs="方正仿宋_GBK"/>
          <w:sz w:val="32"/>
          <w:szCs w:val="32"/>
        </w:rPr>
        <w:t>。</w:t>
      </w:r>
    </w:p>
    <w:p w14:paraId="45DE203B">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研发1套适用多种疾病的增强现实微创手术仿真软件，三维重建时间小于1s，配准精度优于5mm，用于微创穿刺仿真交互的疑难病例模型集不少于50例；研发一套可视化光学穿刺引导体系，具备手术路径规划、多模态融合、可视光导航引导功能，融合准确率大于95%，靶区迁移精度优于2mm；具备可视化光学导航功能，导航自由度不少于4轴运动方向，每个轴向运动精度优于0.5mm/0.5°，每个轴向重复定位精度优于0.5mm/0.5°，静态综合定位精度优于1mm；开展远程会诊、远程协助、远程医疗教学达到200人/次，在3-5家医疗机构实现推广应用</w:t>
      </w:r>
      <w:r>
        <w:rPr>
          <w:rFonts w:hint="eastAsia" w:ascii="Times New Roman" w:hAnsi="Times New Roman" w:eastAsia="方正仿宋_GBK" w:cs="方正仿宋_GBK"/>
          <w:sz w:val="32"/>
          <w:szCs w:val="32"/>
        </w:rPr>
        <w:t>。</w:t>
      </w:r>
    </w:p>
    <w:p w14:paraId="75874189">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60EA1742">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0F8B2DCC">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70D3BD6D">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6968B762">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7150275B">
      <w:pPr>
        <w:pStyle w:val="2"/>
        <w:spacing w:line="360" w:lineRule="auto"/>
        <w:ind w:left="638" w:leftChars="304"/>
        <w:rPr>
          <w:rFonts w:ascii="Times New Roman" w:hAnsi="Times New Roman" w:eastAsia="方正仿宋_GBK" w:cs="方正仿宋_GBK"/>
          <w:b w:val="0"/>
          <w:bCs w:val="0"/>
          <w:sz w:val="32"/>
          <w:szCs w:val="32"/>
        </w:rPr>
      </w:pPr>
    </w:p>
    <w:p w14:paraId="2B02B875">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项目七：AI+消化道早期癌精准治疗体系建立与应用</w:t>
      </w:r>
    </w:p>
    <w:p w14:paraId="226B37A6">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消化道早期癌术前诊断准确率低、治疗方式选择不精准的重大临床难题，研发AI辅助的多模态数据融合技术，整合常见临床特征、消化内镜图像、超声内镜图像、腹部CT等影像学资料、病理类型，建立消化道早癌多模态数据库，构建消化道早期癌术前精准诊断模型，实现术前预判消化道早期癌的浸润深度、病理类型、淋巴结及脉管转移，提高消化道早期癌治疗精准度</w:t>
      </w:r>
      <w:r>
        <w:rPr>
          <w:rFonts w:hint="eastAsia" w:ascii="Times New Roman" w:hAnsi="Times New Roman" w:eastAsia="方正仿宋_GBK" w:cs="方正仿宋_GBK"/>
          <w:sz w:val="32"/>
          <w:szCs w:val="32"/>
        </w:rPr>
        <w:t>。</w:t>
      </w:r>
    </w:p>
    <w:p w14:paraId="0642984D">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建立1个包含20000例以上的消化道早期癌患者的完整数据库(含消化内镜、超声内镜、病理、CT图像、以及复发、再次手术、并发症、生存随访等临床资料)，其中内镜微创治疗不少于10000例；利用AI深度学习建立1套术前精准诊断模型、外部验证有效性超过90%；训练1套AI辅助的精准治疗(消化内镜或外科手术)决策模型，外部验证有效性超过90%；在30家以上医疗机构推广应用</w:t>
      </w:r>
      <w:r>
        <w:rPr>
          <w:rFonts w:hint="eastAsia" w:ascii="Times New Roman" w:hAnsi="Times New Roman" w:eastAsia="方正仿宋_GBK" w:cs="方正仿宋_GBK"/>
          <w:sz w:val="32"/>
          <w:szCs w:val="32"/>
        </w:rPr>
        <w:t>。</w:t>
      </w:r>
    </w:p>
    <w:p w14:paraId="43D96FE7">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07A6D806">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26BA0F42">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2C601E47">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w:t>
      </w:r>
      <w:r>
        <w:rPr>
          <w:rFonts w:hint="eastAsia" w:ascii="方正仿宋_GBK" w:eastAsia="方正仿宋_GBK"/>
          <w:color w:val="000000" w:themeColor="text1"/>
          <w:sz w:val="32"/>
          <w:szCs w:val="32"/>
          <w14:textFill>
            <w14:solidFill>
              <w14:schemeClr w14:val="tx1"/>
            </w14:solidFill>
          </w14:textFill>
        </w:rPr>
        <w:t>、</w:t>
      </w:r>
      <w:r>
        <w:rPr>
          <w:rFonts w:ascii="方正仿宋_GBK" w:eastAsia="方正仿宋_GBK"/>
          <w:color w:val="000000" w:themeColor="text1"/>
          <w:sz w:val="32"/>
          <w:szCs w:val="32"/>
          <w14:textFill>
            <w14:solidFill>
              <w14:schemeClr w14:val="tx1"/>
            </w14:solidFill>
          </w14:textFill>
        </w:rPr>
        <w:t>科研院所</w:t>
      </w:r>
      <w:r>
        <w:rPr>
          <w:rFonts w:hint="eastAsia" w:ascii="方正仿宋_GBK" w:eastAsia="方正仿宋_GBK"/>
          <w:color w:val="000000" w:themeColor="text1"/>
          <w:sz w:val="32"/>
          <w:szCs w:val="32"/>
          <w14:textFill>
            <w14:solidFill>
              <w14:schemeClr w14:val="tx1"/>
            </w14:solidFill>
          </w14:textFill>
        </w:rPr>
        <w:t>或企业</w:t>
      </w:r>
      <w:r>
        <w:rPr>
          <w:rFonts w:ascii="方正仿宋_GBK" w:eastAsia="方正仿宋_GBK"/>
          <w:color w:val="000000" w:themeColor="text1"/>
          <w:sz w:val="32"/>
          <w:szCs w:val="32"/>
          <w14:textFill>
            <w14:solidFill>
              <w14:schemeClr w14:val="tx1"/>
            </w14:solidFill>
          </w14:textFill>
        </w:rPr>
        <w:t>牵头，鼓励产学研合作</w:t>
      </w:r>
      <w:r>
        <w:rPr>
          <w:rFonts w:hint="eastAsia" w:ascii="方正仿宋_GBK" w:eastAsia="方正仿宋_GBK"/>
          <w:color w:val="000000" w:themeColor="text1"/>
          <w:sz w:val="32"/>
          <w:szCs w:val="32"/>
          <w14:textFill>
            <w14:solidFill>
              <w14:schemeClr w14:val="tx1"/>
            </w14:solidFill>
          </w14:textFill>
        </w:rPr>
        <w:t>。</w:t>
      </w:r>
    </w:p>
    <w:p w14:paraId="4AE82FD7">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48803547">
      <w:pPr>
        <w:pStyle w:val="2"/>
        <w:spacing w:line="360" w:lineRule="auto"/>
        <w:ind w:left="638" w:leftChars="304"/>
        <w:rPr>
          <w:rFonts w:ascii="Times New Roman" w:hAnsi="Times New Roman" w:eastAsia="方正仿宋_GBK" w:cs="方正仿宋_GBK"/>
          <w:b w:val="0"/>
          <w:bCs w:val="0"/>
          <w:sz w:val="32"/>
          <w:szCs w:val="32"/>
        </w:rPr>
      </w:pPr>
    </w:p>
    <w:p w14:paraId="7988CD64">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项目八：基于数智驱动的急诊急救多跨融合系统关键技术研究与应用</w:t>
      </w:r>
    </w:p>
    <w:p w14:paraId="103C650D">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Calibri" w:eastAsia="方正仿宋_GBK" w:cs="Times New Roman"/>
          <w:color w:val="000000" w:themeColor="text1"/>
          <w:sz w:val="32"/>
          <w:szCs w:val="32"/>
          <w14:textFill>
            <w14:solidFill>
              <w14:schemeClr w14:val="tx1"/>
            </w14:solidFill>
          </w14:textFill>
        </w:rPr>
        <w:t>针对急危重症疾病院前救治机构涉及多、场景跨度大、信息分散难以互通，导致救治缺乏有效衔接、急救资源利用精准性差的难点问题，采用AI+大数据技术，研究急诊急救跨系统、跨机构的数据治理共享和资源智能匹配关键技术。开发面向全市的急诊急救多跨融合智慧调度系统，实现急救患者医疗数据的快速采集、监测预警、院前院内实时共享，以及“陆-水-空”一体化的智慧急救调度及资源配置，并在全市范围内推广应用。构建覆盖全市范围的“全流程、全链条、全场景”智慧急救体系，有效提升重大突发事件医疗救援和保障能力</w:t>
      </w:r>
      <w:r>
        <w:rPr>
          <w:rFonts w:hint="eastAsia" w:ascii="Times New Roman" w:hAnsi="Times New Roman" w:eastAsia="方正仿宋_GBK" w:cs="方正仿宋_GBK"/>
          <w:sz w:val="32"/>
          <w:szCs w:val="32"/>
        </w:rPr>
        <w:t>。</w:t>
      </w:r>
    </w:p>
    <w:p w14:paraId="77FD509A">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Calibri" w:eastAsia="方正仿宋_GBK" w:cs="Times New Roman"/>
          <w:color w:val="000000" w:themeColor="text1"/>
          <w:sz w:val="32"/>
          <w:szCs w:val="32"/>
          <w14:textFill>
            <w14:solidFill>
              <w14:schemeClr w14:val="tx1"/>
            </w14:solidFill>
          </w14:textFill>
        </w:rPr>
        <w:t>建立西部首个“水-陆-空”急救资源可视化智慧调度平台1个，绘制急救资源专题图层不少于5个、二级图层不少于10个，并结合路网、交通、资源等信息提供优化的实时路径规划；开发基于大数据技术的急诊急救多跨融合系统1个，系统支持在线终端不少于3000个、数据采集吞吐率达到每秒百万量级、信息同步更新间隔小于10s、事务并发响应数不低于800组；研究成果在全市120指挥中心/分中心推广应用，全市平均急救反应时间缩短10%</w:t>
      </w:r>
      <w:r>
        <w:rPr>
          <w:rFonts w:hint="eastAsia" w:ascii="Times New Roman" w:hAnsi="Times New Roman" w:eastAsia="方正仿宋_GBK" w:cs="方正仿宋_GBK"/>
          <w:sz w:val="32"/>
          <w:szCs w:val="32"/>
        </w:rPr>
        <w:t>。</w:t>
      </w:r>
    </w:p>
    <w:p w14:paraId="4C0A1C94">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3AF744B0">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3B12F57F">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0E3B112D">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6160CFA4">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5A0AC3DB">
      <w:pPr>
        <w:pStyle w:val="2"/>
        <w:spacing w:line="360" w:lineRule="auto"/>
        <w:ind w:left="638" w:leftChars="304"/>
        <w:rPr>
          <w:rFonts w:ascii="Times New Roman" w:hAnsi="Times New Roman" w:eastAsia="方正仿宋_GBK" w:cs="方正仿宋_GBK"/>
          <w:b w:val="0"/>
          <w:bCs w:val="0"/>
          <w:sz w:val="32"/>
          <w:szCs w:val="32"/>
        </w:rPr>
      </w:pPr>
    </w:p>
    <w:p w14:paraId="6A089D5F">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项目九：AI+糖尿病肾病辅助决策与精准诊疗技术研发及应用</w:t>
      </w:r>
    </w:p>
    <w:p w14:paraId="678A262B">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糖尿病肾病早期诊疗缺乏精准评估和有效干预措施等问题，通过整合深度学习和生成式大模型等前沿技术，研发基于多模态数据的精准诊疗系统，实现人工智能化早期诊断和综合干预管理，建立糖尿病肾病药物疗效评价、预后预测和数字疗法，对糖尿病肾病进展、心血管事件和全因死亡预测，形成糖尿病肾病智慧诊疗策略，提高糖尿病肾病防治水平</w:t>
      </w:r>
      <w:r>
        <w:rPr>
          <w:rFonts w:hint="eastAsia" w:ascii="Times New Roman" w:hAnsi="Times New Roman" w:eastAsia="方正仿宋_GBK" w:cs="方正仿宋_GBK"/>
          <w:sz w:val="32"/>
          <w:szCs w:val="32"/>
        </w:rPr>
        <w:t>。</w:t>
      </w:r>
    </w:p>
    <w:p w14:paraId="39E72599">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建立1个基于肾活检诊断的糖尿病肾病全国多中心临床研究队列（n&gt;1000），标准化糖尿病肾病电子病历（n&gt;2000)；建立糖尿病肾病生物样本库(n&gt;1000)；建立一套AI+糖尿病肾病辅助决策与精准诊疗系统；完成不少于3种药物疗效评价、预后预测和数字疗法；诊断准确度不低90%，生成治疗方案恰当性不低于85%； 糖尿病肾病进展、心血管事件和全因死亡预测准确度不低于80%；在30家以上医院示范应用</w:t>
      </w:r>
      <w:r>
        <w:rPr>
          <w:rFonts w:hint="eastAsia" w:ascii="Times New Roman" w:hAnsi="Times New Roman" w:eastAsia="方正仿宋_GBK" w:cs="方正仿宋_GBK"/>
          <w:sz w:val="32"/>
          <w:szCs w:val="32"/>
        </w:rPr>
        <w:t>。</w:t>
      </w:r>
    </w:p>
    <w:p w14:paraId="739A4096">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7FACAACE">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1E21ABD5">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009D0B9C">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0CC9BBC3">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3234CFDA">
      <w:pPr>
        <w:pStyle w:val="2"/>
        <w:spacing w:line="360" w:lineRule="auto"/>
        <w:ind w:left="638" w:leftChars="304"/>
        <w:rPr>
          <w:rFonts w:ascii="Times New Roman" w:hAnsi="Times New Roman" w:eastAsia="方正仿宋_GBK" w:cs="方正仿宋_GBK"/>
          <w:b w:val="0"/>
          <w:bCs w:val="0"/>
          <w:sz w:val="32"/>
          <w:szCs w:val="32"/>
        </w:rPr>
      </w:pPr>
    </w:p>
    <w:p w14:paraId="2F16B7E3">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项目十：重大慢病康复管理新型技术研发与应用</w:t>
      </w:r>
    </w:p>
    <w:p w14:paraId="15994334">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慢性代谢性疾病风险预测差的重大问题，开展糖尿病、高血压、高脂血症、骨质疏松症等重大慢病疾病预测风险研究，重点研究疾病风险因素与临床结局动态相关性，借助人工智能技术，开展生成式AI辅助疾病风险预测、医疗智能决策和智慧管理模型研究，构建风险预测决策体系，搭建智慧管理平台，建立新型靶向治疗方案；研发一体化、数字化和便携式无创监测创新仪器；开展临床研究和应用推广</w:t>
      </w:r>
      <w:r>
        <w:rPr>
          <w:rFonts w:hint="eastAsia" w:ascii="Times New Roman" w:hAnsi="Times New Roman" w:eastAsia="方正仿宋_GBK" w:cs="方正仿宋_GBK"/>
          <w:sz w:val="32"/>
          <w:szCs w:val="32"/>
        </w:rPr>
        <w:t>。</w:t>
      </w:r>
    </w:p>
    <w:p w14:paraId="33B3DD29">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开发1-2种代谢性疾病预判、诊疗分子靶点，定位2-3个慢性代谢病生物标志物，开发代谢调控技术方案1套，制定1-3种新型靶向代谢治疗策略，形成2份慢病管理专家共识或诊疗指南；开发基于慢性代谢性疾病网络的疾病风险预测和AI决策管理体系1套，并形成慢病预测管理智慧康复平台1套，在不少于10家以上单位推广应用</w:t>
      </w:r>
      <w:r>
        <w:rPr>
          <w:rFonts w:hint="eastAsia" w:ascii="Times New Roman" w:hAnsi="Times New Roman" w:eastAsia="方正仿宋_GBK" w:cs="方正仿宋_GBK"/>
          <w:sz w:val="32"/>
          <w:szCs w:val="32"/>
        </w:rPr>
        <w:t>。</w:t>
      </w:r>
    </w:p>
    <w:p w14:paraId="16383B60">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064A7E50">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72DC6B85">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10E5857F">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hint="eastAsia" w:ascii="方正仿宋_GBK" w:eastAsia="方正仿宋_GBK"/>
          <w:color w:val="000000" w:themeColor="text1"/>
          <w:sz w:val="32"/>
          <w:szCs w:val="32"/>
          <w14:textFill>
            <w14:solidFill>
              <w14:schemeClr w14:val="tx1"/>
            </w14:solidFill>
          </w14:textFill>
        </w:rPr>
        <w:t>医疗机构、高校、科研院所或企业</w:t>
      </w:r>
      <w:r>
        <w:rPr>
          <w:rFonts w:ascii="方正仿宋_GBK" w:eastAsia="方正仿宋_GBK"/>
          <w:color w:val="000000" w:themeColor="text1"/>
          <w:sz w:val="32"/>
          <w:szCs w:val="32"/>
          <w14:textFill>
            <w14:solidFill>
              <w14:schemeClr w14:val="tx1"/>
            </w14:solidFill>
          </w14:textFill>
        </w:rPr>
        <w:t>牵头，鼓励产学研合作</w:t>
      </w:r>
      <w:r>
        <w:rPr>
          <w:rFonts w:hint="eastAsia" w:ascii="方正仿宋_GBK" w:eastAsia="方正仿宋_GBK"/>
          <w:color w:val="000000" w:themeColor="text1"/>
          <w:sz w:val="32"/>
          <w:szCs w:val="32"/>
          <w14:textFill>
            <w14:solidFill>
              <w14:schemeClr w14:val="tx1"/>
            </w14:solidFill>
          </w14:textFill>
        </w:rPr>
        <w:t>。</w:t>
      </w:r>
    </w:p>
    <w:p w14:paraId="0D15D0D2">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18F8B360">
      <w:pPr>
        <w:pStyle w:val="2"/>
        <w:spacing w:line="360" w:lineRule="auto"/>
        <w:ind w:left="638" w:leftChars="304"/>
        <w:rPr>
          <w:rFonts w:ascii="Times New Roman" w:hAnsi="Times New Roman" w:eastAsia="方正仿宋_GBK" w:cs="方正仿宋_GBK"/>
          <w:b w:val="0"/>
          <w:bCs w:val="0"/>
          <w:sz w:val="32"/>
          <w:szCs w:val="32"/>
        </w:rPr>
      </w:pPr>
    </w:p>
    <w:p w14:paraId="18062E5D">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项目十一：精准交互智能整合式就医服务技术研发与应用</w:t>
      </w:r>
    </w:p>
    <w:p w14:paraId="402D5A03">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患者在就医过程中仍存在就医选择难、就诊过程衔接不畅、疾病信息查找困难、异地就医不熟悉等痛点，而当前“互联网+”服务存在人机交互性差，功能模块分散割裂，提供个性化、精准化的就医服务能力仍不足的现状。采用基于医疗大模型和数字孪生的融合技术，构建生成式人工智能的精准交互智能整合式就医服务平台，提供沉浸式、具有超高自由度的一站式寻医就诊服务，为智慧就医提供行业解决方案</w:t>
      </w:r>
      <w:r>
        <w:rPr>
          <w:rFonts w:hint="eastAsia" w:ascii="Times New Roman" w:hAnsi="Times New Roman" w:eastAsia="方正仿宋_GBK" w:cs="方正仿宋_GBK"/>
          <w:sz w:val="32"/>
          <w:szCs w:val="32"/>
        </w:rPr>
        <w:t>。</w:t>
      </w:r>
    </w:p>
    <w:p w14:paraId="26E2EFB8">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开发基于医疗大模型和数字孪生融合的互联网+精准智能交互技术，形成GPT-OS交互集成式操作系统1套；建立智慧就医分导诊模块产品1套；建立智能预问诊模块产品1套；建立个性化健康宣教模块产品1套；打造功能丰富齐全、打通医检互认、处方流转及医保结算，并支持多家医疗机构入驻的行业级互联网医院平台1个；在3-5家医疗机构推广应用；申请并获得发明专利、软件著作权等不少于3项；牵头制订“互联网+”就医服务行业标准1项、数字诊疗服务行业标准1项</w:t>
      </w:r>
      <w:r>
        <w:rPr>
          <w:rFonts w:hint="eastAsia" w:ascii="Times New Roman" w:hAnsi="Times New Roman" w:eastAsia="方正仿宋_GBK" w:cs="方正仿宋_GBK"/>
          <w:sz w:val="32"/>
          <w:szCs w:val="32"/>
        </w:rPr>
        <w:t>。</w:t>
      </w:r>
    </w:p>
    <w:p w14:paraId="6B133C62">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5C0073EF">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186C8D3D">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2F5DD323">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医疗机构牵头，鼓励产学研合作</w:t>
      </w:r>
      <w:r>
        <w:rPr>
          <w:rFonts w:hint="eastAsia" w:ascii="方正仿宋_GBK" w:eastAsia="方正仿宋_GBK"/>
          <w:color w:val="000000" w:themeColor="text1"/>
          <w:sz w:val="32"/>
          <w:szCs w:val="32"/>
          <w14:textFill>
            <w14:solidFill>
              <w14:schemeClr w14:val="tx1"/>
            </w14:solidFill>
          </w14:textFill>
        </w:rPr>
        <w:t>。</w:t>
      </w:r>
    </w:p>
    <w:p w14:paraId="177328D7">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37F2851E">
      <w:pPr>
        <w:pStyle w:val="2"/>
        <w:spacing w:line="360" w:lineRule="auto"/>
        <w:ind w:left="638" w:leftChars="304"/>
        <w:rPr>
          <w:rFonts w:ascii="Times New Roman" w:hAnsi="Times New Roman" w:eastAsia="方正仿宋_GBK" w:cs="方正仿宋_GBK"/>
          <w:b w:val="0"/>
          <w:bCs w:val="0"/>
          <w:sz w:val="32"/>
          <w:szCs w:val="32"/>
        </w:rPr>
      </w:pPr>
    </w:p>
    <w:p w14:paraId="6DE98E89">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项目十二：虚拟现实康复技术研究与应用</w:t>
      </w:r>
    </w:p>
    <w:p w14:paraId="340E1847">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神经损伤（脑卒中、脊髓损伤）、神经退变（阿尔兹海默症、帕金森病）和老龄相关（肌少症、衰弱）三大类残障人群核心康复需求的问题，采用沉浸式和混合式虚拟现实技术，构建面向认知功能评测和康复训练的视、听、 触、本体、前庭协同刺激范式和虚拟现实康复技术，提升我国康复研究及诊治水平</w:t>
      </w:r>
      <w:r>
        <w:rPr>
          <w:rFonts w:hint="eastAsia" w:ascii="Times New Roman" w:hAnsi="Times New Roman" w:eastAsia="方正仿宋_GBK" w:cs="方正仿宋_GBK"/>
          <w:sz w:val="32"/>
          <w:szCs w:val="32"/>
        </w:rPr>
        <w:t>。</w:t>
      </w:r>
    </w:p>
    <w:p w14:paraId="1BC63509">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形成多模态信号同步采集系统，实现不少于3种设备信号采集的时序同步，包括肌电、脑电、运动捕获等；构建真实及VR环境下的身体表征、行为学、脑功能、神经电生理等指标的多源异构数据库。形成运动及认知功能评测和康复训练的视、听、触、嗅、本体、前庭单独或协同刺激范式10种以上，形成基于生理参数测量和运动行为特征分析的运动及认知功能评测方案3个以上；形成1套虚拟现实神经康复应用技术地方或者团体标准；形成1套针对三大类残障人群日常生活及运动的虚拟现实康复技术</w:t>
      </w:r>
      <w:r>
        <w:rPr>
          <w:rFonts w:hint="eastAsia" w:ascii="Times New Roman" w:hAnsi="Times New Roman" w:eastAsia="方正仿宋_GBK" w:cs="方正仿宋_GBK"/>
          <w:sz w:val="32"/>
          <w:szCs w:val="32"/>
        </w:rPr>
        <w:t>。</w:t>
      </w:r>
    </w:p>
    <w:p w14:paraId="1DED5A8F">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35B7F3F2">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6D165624">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2AD69E74">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0CF38B02">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76287CCD">
      <w:pPr>
        <w:pStyle w:val="2"/>
        <w:spacing w:line="360" w:lineRule="auto"/>
        <w:ind w:left="638" w:leftChars="304"/>
        <w:rPr>
          <w:rFonts w:ascii="Times New Roman" w:hAnsi="Times New Roman" w:eastAsia="方正仿宋_GBK" w:cs="方正仿宋_GBK"/>
          <w:b w:val="0"/>
          <w:bCs w:val="0"/>
          <w:sz w:val="32"/>
          <w:szCs w:val="32"/>
        </w:rPr>
      </w:pPr>
    </w:p>
    <w:p w14:paraId="0A48C3B4">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项目十三：妇科恶性肿瘤患者生育力保护技术研究及应用</w:t>
      </w:r>
    </w:p>
    <w:p w14:paraId="2488945A">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妇科恶性肿瘤患者治疗后生育力保存率低、难度大等问题，开展多单位联动、多学科协作的网络化平台，建立妇科肿瘤患者保留生育功能的精准筛选体系；利用基因组、代谢组及空间转录组等多组学分析，结合高光谱成像、类器官、模式生物、基因编辑等研究手段，靶向 1~2 种妇科恶性肿瘤关键的致病因子，建立保留生育、逆转肿瘤的新方案；从细胞、分子水平和动物模型的角度解析妇科恶性肿瘤保留生育功能治疗相关生殖损伤的机制，并评估其临床应用的安全性和有效性；通过智能化数学模型，建立系统的妇科恶性肿瘤缓解后生育功能评估体系</w:t>
      </w:r>
      <w:r>
        <w:rPr>
          <w:rFonts w:hint="eastAsia" w:ascii="Times New Roman" w:hAnsi="Times New Roman" w:eastAsia="方正仿宋_GBK" w:cs="方正仿宋_GBK"/>
          <w:sz w:val="32"/>
          <w:szCs w:val="32"/>
        </w:rPr>
        <w:t>。</w:t>
      </w:r>
    </w:p>
    <w:p w14:paraId="26B010DF">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建立 1-2 种妇科恶性肿瘤患者保留生育功能的筛选体系；制定 1-2 种妇科恶性肿瘤患者保留生育功能治疗的新方案；研发 1-2种缓解妇科恶性肿瘤患者生殖损伤的新技术；建立全面系统的生育力评估体系及个体化助孕策略；建立1个AI女性早绝经的风险预测体系，准确率85%以上</w:t>
      </w:r>
      <w:r>
        <w:rPr>
          <w:rFonts w:hint="eastAsia" w:ascii="Times New Roman" w:hAnsi="Times New Roman" w:eastAsia="方正仿宋_GBK" w:cs="方正仿宋_GBK"/>
          <w:sz w:val="32"/>
          <w:szCs w:val="32"/>
        </w:rPr>
        <w:t>。</w:t>
      </w:r>
    </w:p>
    <w:p w14:paraId="4B83FC20">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216C2B8C">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4DCF5E1E">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414AAC42">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275A90F2">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58776AE8">
      <w:pPr>
        <w:pStyle w:val="2"/>
        <w:spacing w:line="360" w:lineRule="auto"/>
        <w:ind w:left="638" w:leftChars="304"/>
        <w:rPr>
          <w:rFonts w:ascii="Times New Roman" w:hAnsi="Times New Roman" w:eastAsia="方正仿宋_GBK" w:cs="方正仿宋_GBK"/>
          <w:b w:val="0"/>
          <w:bCs w:val="0"/>
          <w:sz w:val="32"/>
          <w:szCs w:val="32"/>
        </w:rPr>
      </w:pPr>
    </w:p>
    <w:p w14:paraId="784D1BB2">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项目十四：AI+儿童危重症的风险预警及临床应用</w:t>
      </w:r>
    </w:p>
    <w:p w14:paraId="412C7E90">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儿童危重症如重症肺炎、脑膜炎、心跳骤停、急性肠胃炎、消化道出血、休克和中毒等导致儿童高死亡率的问题，利用大数据、人工智能等技术手段，建立科学的临床风险预警和决策体系，并用于临床决策和治疗，以降低儿童危重症导致的死亡率，进一步提升儿童重症防治能力</w:t>
      </w:r>
      <w:r>
        <w:rPr>
          <w:rFonts w:hint="eastAsia" w:ascii="Times New Roman" w:hAnsi="Times New Roman" w:eastAsia="方正仿宋_GBK" w:cs="方正仿宋_GBK"/>
          <w:sz w:val="32"/>
          <w:szCs w:val="32"/>
        </w:rPr>
        <w:t>。</w:t>
      </w:r>
    </w:p>
    <w:p w14:paraId="630040BD">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建立纳入不低于3000例儿童危急重症的，每年纳入不少于300例患儿的专病数据库；构建基于专病数据库人工智能的儿童危急重症风险预警模型；构建儿童危急重症不少于3模态的多模态数据库，并建立数据标准规范；构建基于多模态的人工智能辅助决策系统；在重庆市及全国3个以上省推广应用</w:t>
      </w:r>
      <w:r>
        <w:rPr>
          <w:rFonts w:hint="eastAsia" w:ascii="Times New Roman" w:hAnsi="Times New Roman" w:eastAsia="方正仿宋_GBK" w:cs="方正仿宋_GBK"/>
          <w:sz w:val="32"/>
          <w:szCs w:val="32"/>
        </w:rPr>
        <w:t>。</w:t>
      </w:r>
    </w:p>
    <w:p w14:paraId="1BC0781E">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41CCC820">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68265A6D">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6A820928">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2267E988">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0776C965">
      <w:pPr>
        <w:pStyle w:val="2"/>
        <w:spacing w:line="360" w:lineRule="auto"/>
        <w:ind w:left="638" w:leftChars="304"/>
        <w:rPr>
          <w:rFonts w:ascii="Times New Roman" w:hAnsi="Times New Roman" w:eastAsia="方正仿宋_GBK" w:cs="方正仿宋_GBK"/>
          <w:b w:val="0"/>
          <w:bCs w:val="0"/>
          <w:sz w:val="32"/>
          <w:szCs w:val="32"/>
        </w:rPr>
      </w:pPr>
    </w:p>
    <w:p w14:paraId="7318EA00">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项目十五：AI+儿童重大先天性出生缺陷辅助诊疗技术研发与应用</w:t>
      </w:r>
    </w:p>
    <w:p w14:paraId="1DD5F8B0">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儿童重大先天性出生缺陷死亡率高、存活者生活质量严重降低、缺乏精准有效的评估手段、无统一诊疗方案的难点问题，研发构建具有重庆特色、基于人工智能的儿童重大先天性出生缺陷辅助诊疗系统。该系统以重庆地区主动脉缩窄、先天性肾积水、肾发育不良、后尿道瓣膜等重大先天性出生缺陷的自然和诊疗后长期变化趋势为基础，基于人工智能形成精准诊疗方案，提出快速精准诊断及预警策略。</w:t>
      </w:r>
    </w:p>
    <w:p w14:paraId="34B246FD">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该系统基于大型出生缺陷病例队列（主动脉缩窄研究队列＞500例，先天性肾积水研究队列＞1500例、肾发育不良研究队列＞1000例、后尿道瓣膜研究队列＞100例），搭建1个儿童重大先天性出生缺陷（主动脉缩窄、先天性肾积水、肾发育不良、后尿道瓣膜）的AI辅助诊疗综合智能平台。该诊疗平台包括研发1套儿童重大先天性出生缺</w:t>
      </w:r>
      <w:r>
        <w:rPr>
          <w:rFonts w:hint="eastAsia" w:ascii="方正仿宋_GBK" w:hAnsi="方正仿宋_GBK" w:eastAsia="方正仿宋_GBK" w:cs="方正仿宋_GBK"/>
          <w:sz w:val="32"/>
          <w:szCs w:val="32"/>
        </w:rPr>
        <w:t>陷识别、筛查系统；针对4种先天性出生缺陷各研发1套人</w:t>
      </w:r>
      <w:r>
        <w:rPr>
          <w:rFonts w:hint="eastAsia" w:ascii="方正仿宋_GBK" w:hAnsi="方正仿宋_GBK" w:eastAsia="方正仿宋_GBK" w:cs="方正仿宋_GBK"/>
          <w:color w:val="000000" w:themeColor="text1"/>
          <w:sz w:val="32"/>
          <w:szCs w:val="32"/>
          <w14:textFill>
            <w14:solidFill>
              <w14:schemeClr w14:val="tx1"/>
            </w14:solidFill>
          </w14:textFill>
        </w:rPr>
        <w:t>工智能辅助综合诊疗系统，提供疾病自然转归预测、精准诊疗方案建议、预后预测信息等；研发成果在重庆地区和全国不少于5家大型三甲医院推广应用</w:t>
      </w:r>
      <w:r>
        <w:rPr>
          <w:rFonts w:hint="eastAsia" w:ascii="Times New Roman" w:hAnsi="Times New Roman" w:eastAsia="方正仿宋_GBK" w:cs="方正仿宋_GBK"/>
          <w:sz w:val="32"/>
          <w:szCs w:val="32"/>
        </w:rPr>
        <w:t>。</w:t>
      </w:r>
    </w:p>
    <w:p w14:paraId="365A2397">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3B141CDD">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0DA42F4B">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7FF8D3C7">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6EB6FE06">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7D3C2BB4">
      <w:pPr>
        <w:pStyle w:val="2"/>
        <w:spacing w:line="360" w:lineRule="auto"/>
        <w:ind w:left="638" w:leftChars="304"/>
        <w:rPr>
          <w:rFonts w:ascii="Times New Roman" w:hAnsi="Times New Roman" w:eastAsia="方正仿宋_GBK" w:cs="方正仿宋_GBK"/>
          <w:b w:val="0"/>
          <w:bCs w:val="0"/>
          <w:sz w:val="32"/>
          <w:szCs w:val="32"/>
        </w:rPr>
      </w:pPr>
    </w:p>
    <w:p w14:paraId="08659E97">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项目十六：中医药防治重大疑难慢病临床价值提升研究</w:t>
      </w:r>
    </w:p>
    <w:p w14:paraId="3D81C69F">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干燥综合征、系统性红斑狼疮等疑难、慢性难治性疾病，中医临床治疗具有鲜明特色优势。采取随机对照、队列研究、多中心研究方法开展中医药临床研究，获得高级别中医药循证治疗依据。建设相应疾病的专病数据库、生物样本库。开展中医药疗效评价的规范化标准化研究，运用现代医学技术，阐释中医药治疗相关疾病的科学内涵，阐明中医药多环节、多途径作用机制，明确中医药治疗相关疾病的优势特色。开展中医药防治重大慢病的中药特色制剂研发</w:t>
      </w:r>
      <w:r>
        <w:rPr>
          <w:rFonts w:hint="eastAsia" w:ascii="Times New Roman" w:hAnsi="Times New Roman" w:eastAsia="方正仿宋_GBK" w:cs="方正仿宋_GBK"/>
          <w:sz w:val="32"/>
          <w:szCs w:val="32"/>
        </w:rPr>
        <w:t>。</w:t>
      </w:r>
    </w:p>
    <w:p w14:paraId="36AD8B58">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制定1-2种中医药防治重大疑难慢病中医诊治或中西医结合诊治的诊疗方案，形成相应的专家共识或临床指南，相比常规治疗方式提高临床疗效10%以上。建立1-2种疾病的专病数据库、生物样本库。形成1-2项中医药特色治疗的规范化技术方案。研发特色中药制剂1-2个，申请专利1-2件，发表高水平论文3篇以上。相关技术示范推广到5家以上医疗机构</w:t>
      </w:r>
      <w:r>
        <w:rPr>
          <w:rFonts w:hint="eastAsia" w:ascii="Times New Roman" w:hAnsi="Times New Roman" w:eastAsia="方正仿宋_GBK" w:cs="方正仿宋_GBK"/>
          <w:sz w:val="32"/>
          <w:szCs w:val="32"/>
        </w:rPr>
        <w:t>。</w:t>
      </w:r>
    </w:p>
    <w:p w14:paraId="3AC770AE">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103AA884">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355F999C">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50F2CC6D">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2F94BE5B">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785763E0">
      <w:pPr>
        <w:pStyle w:val="2"/>
        <w:spacing w:line="360" w:lineRule="auto"/>
        <w:ind w:left="638" w:leftChars="304"/>
        <w:rPr>
          <w:rFonts w:ascii="Times New Roman" w:hAnsi="Times New Roman" w:eastAsia="方正仿宋_GBK" w:cs="方正仿宋_GBK"/>
          <w:b w:val="0"/>
          <w:bCs w:val="0"/>
          <w:sz w:val="32"/>
          <w:szCs w:val="32"/>
        </w:rPr>
      </w:pPr>
    </w:p>
    <w:p w14:paraId="4B9F78C4">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项目十七：中药毒性物质消减关键技术的研究与应用</w:t>
      </w:r>
    </w:p>
    <w:p w14:paraId="3FE8E2BA">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部分中药存在内源性和外源性毒性物质，影响临床用药安全，目前尚缺乏系统解决办法，影响中医药产业发展。基于中药化学、中药制药分离工程等学科相关研究进展，结合新材料、新工艺开展中药外源性有害物质脱除技术工艺的研究；同时结合分子机制与量-毒-时-效的系统关联解析，阐明毒性成分量质传递规律，实现具有突出治疗作用的毒性中药内源性毒性物质减毒、消减工艺技术研究，解决相关中药和制剂中相关毒性物质超标的问题，建立中药毒性物质消减毒生产技术体系，完善中药毒性物质质量控制体系，保障中药临床应用安全</w:t>
      </w:r>
      <w:r>
        <w:rPr>
          <w:rFonts w:hint="eastAsia" w:ascii="Times New Roman" w:hAnsi="Times New Roman" w:eastAsia="方正仿宋_GBK" w:cs="方正仿宋_GBK"/>
          <w:sz w:val="32"/>
          <w:szCs w:val="32"/>
        </w:rPr>
        <w:t>。</w:t>
      </w:r>
    </w:p>
    <w:p w14:paraId="644EC625">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建立50种中药材毒性物质数据库1个；建立中药毒性物质系统化质量控制体系1个；研发制备新型特异性吸附材料2-3种；分类建立中药内源性或外源性毒性物质减毒、消减技术工艺5个；申请专利1-2项，实现技术转让2-3个，发表高水平论文3篇以上。相关技术示范推广到1家以上企业</w:t>
      </w:r>
      <w:r>
        <w:rPr>
          <w:rFonts w:hint="eastAsia" w:ascii="Times New Roman" w:hAnsi="Times New Roman" w:eastAsia="方正仿宋_GBK" w:cs="方正仿宋_GBK"/>
          <w:sz w:val="32"/>
          <w:szCs w:val="32"/>
        </w:rPr>
        <w:t>。</w:t>
      </w:r>
    </w:p>
    <w:p w14:paraId="3D146BB5">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5374D8AB">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44A8F0C3">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1965DC6A">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ascii="方正仿宋_GBK" w:eastAsia="方正仿宋_GBK"/>
          <w:color w:val="000000" w:themeColor="text1"/>
          <w:sz w:val="32"/>
          <w:szCs w:val="32"/>
          <w14:textFill>
            <w14:solidFill>
              <w14:schemeClr w14:val="tx1"/>
            </w14:solidFill>
          </w14:textFill>
        </w:rPr>
        <w:t>医疗机构、高校或科研院所牵头，鼓励产学研合作</w:t>
      </w:r>
      <w:r>
        <w:rPr>
          <w:rFonts w:hint="eastAsia" w:ascii="方正仿宋_GBK" w:eastAsia="方正仿宋_GBK"/>
          <w:color w:val="000000" w:themeColor="text1"/>
          <w:sz w:val="32"/>
          <w:szCs w:val="32"/>
          <w14:textFill>
            <w14:solidFill>
              <w14:schemeClr w14:val="tx1"/>
            </w14:solidFill>
          </w14:textFill>
        </w:rPr>
        <w:t>。</w:t>
      </w:r>
    </w:p>
    <w:p w14:paraId="20293E1C">
      <w:pPr>
        <w:spacing w:line="360" w:lineRule="auto"/>
        <w:ind w:firstLine="640" w:firstLineChars="200"/>
        <w:rPr>
          <w:rFonts w:ascii="Times New Roman" w:hAnsi="Times New Roman" w:eastAsia="方正仿宋_GBK" w:cs="方正仿宋_GBK"/>
          <w:sz w:val="32"/>
          <w:szCs w:val="32"/>
        </w:rPr>
      </w:pPr>
      <w:bookmarkStart w:id="1" w:name="_GoBack"/>
      <w:bookmarkEnd w:id="1"/>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694086C5">
      <w:pPr>
        <w:pStyle w:val="2"/>
        <w:spacing w:line="360" w:lineRule="auto"/>
        <w:ind w:left="638" w:leftChars="304"/>
        <w:rPr>
          <w:rFonts w:ascii="Times New Roman" w:hAnsi="Times New Roman" w:eastAsia="方正仿宋_GBK" w:cs="方正仿宋_GBK"/>
          <w:b w:val="0"/>
          <w:bCs w:val="0"/>
          <w:sz w:val="32"/>
          <w:szCs w:val="32"/>
        </w:rPr>
      </w:pPr>
    </w:p>
    <w:p w14:paraId="6B7F2229">
      <w:pPr>
        <w:pStyle w:val="2"/>
        <w:spacing w:line="360" w:lineRule="auto"/>
        <w:ind w:firstLine="640" w:firstLineChars="200"/>
        <w:rPr>
          <w:rFonts w:ascii="Times New Roman" w:hAnsi="Times New Roman" w:eastAsia="方正黑体_GBK" w:cs="方正黑体_GBK"/>
          <w:b w:val="0"/>
          <w:bCs w:val="0"/>
          <w:sz w:val="32"/>
          <w:szCs w:val="32"/>
          <w:highlight w:val="none"/>
        </w:rPr>
      </w:pPr>
      <w:r>
        <w:rPr>
          <w:rFonts w:hint="eastAsia" w:ascii="Times New Roman" w:hAnsi="Times New Roman" w:eastAsia="方正黑体_GBK" w:cs="方正黑体_GBK"/>
          <w:b w:val="0"/>
          <w:bCs w:val="0"/>
          <w:sz w:val="32"/>
          <w:szCs w:val="32"/>
          <w:highlight w:val="none"/>
        </w:rPr>
        <w:t>项目十八：三峡库区特色药材品种选育与高产优质绿色生态种植技术研究与应用</w:t>
      </w:r>
    </w:p>
    <w:p w14:paraId="074E5CA2">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三峡库区特色药材在生产中缺乏适宜的高产优质种植技术，导致生产中产量不高、产量不稳定，药材质量稳定性差，制约了特色药材在三峡库区的发展等问题，结合太空育种，采用系统选育法选育适宜三峡库区的新品种，在三峡库区系统开展制约特色药材发展的栽培措施和初加工技术研究，构建中药材绿色生态种植模式。形成优势中药材品种生态种植单元技术及规范化种植技术体系，并将研发的高产优质种植技术进行大面积推广应用</w:t>
      </w:r>
      <w:r>
        <w:rPr>
          <w:rFonts w:hint="eastAsia" w:ascii="Times New Roman" w:hAnsi="Times New Roman" w:eastAsia="方正仿宋_GBK" w:cs="方正仿宋_GBK"/>
          <w:sz w:val="32"/>
          <w:szCs w:val="32"/>
        </w:rPr>
        <w:t>。</w:t>
      </w:r>
    </w:p>
    <w:p w14:paraId="64446F51">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完成特色药材高产优质种植或采摘技术1套，提升种植过程中的单位水肥使用效应不低于5%；病虫害显著减少；中药材产量提升10%以上；选育1个新品系。在 1 家以上中药材种植企业开展推广种植3000亩以上；优化三峡库区特色药材初加工技术规程，形成冬虫夏草、川贝母、黄连、黄精、黄蜀葵等初加工线1条</w:t>
      </w:r>
      <w:r>
        <w:rPr>
          <w:rFonts w:hint="eastAsia" w:ascii="Times New Roman" w:hAnsi="Times New Roman" w:eastAsia="方正仿宋_GBK" w:cs="方正仿宋_GBK"/>
          <w:sz w:val="32"/>
          <w:szCs w:val="32"/>
        </w:rPr>
        <w:t>。</w:t>
      </w:r>
    </w:p>
    <w:p w14:paraId="306F66AB">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拟支持1项，市级财政经费资助不超过200万元，承担单位出资不低于600万元</w:t>
      </w:r>
      <w:r>
        <w:rPr>
          <w:rFonts w:hint="eastAsia" w:ascii="Times New Roman" w:hAnsi="Times New Roman" w:eastAsia="方正仿宋_GBK" w:cs="方正仿宋_GBK"/>
          <w:sz w:val="32"/>
          <w:szCs w:val="32"/>
        </w:rPr>
        <w:t>。</w:t>
      </w:r>
    </w:p>
    <w:p w14:paraId="3CC28BB5">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0E767393">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14C038B0">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医疗机构、高校、科研院所或企业牵头，鼓励产学研合作</w:t>
      </w:r>
      <w:r>
        <w:rPr>
          <w:rFonts w:hint="eastAsia" w:ascii="方正仿宋_GBK" w:eastAsia="方正仿宋_GBK"/>
          <w:color w:val="000000" w:themeColor="text1"/>
          <w:sz w:val="32"/>
          <w:szCs w:val="32"/>
          <w14:textFill>
            <w14:solidFill>
              <w14:schemeClr w14:val="tx1"/>
            </w14:solidFill>
          </w14:textFill>
        </w:rPr>
        <w:t>。</w:t>
      </w:r>
    </w:p>
    <w:p w14:paraId="713C998E">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hint="eastAsia" w:ascii="Times New Roman" w:hAnsi="Times New Roman" w:eastAsia="方正仿宋_GBK" w:cs="方正仿宋_GBK"/>
          <w:sz w:val="32"/>
          <w:szCs w:val="32"/>
        </w:rPr>
        <w:t>无</w:t>
      </w:r>
      <w:r>
        <w:rPr>
          <w:rFonts w:ascii="Times New Roman" w:hAnsi="Times New Roman" w:eastAsia="方正仿宋_GBK" w:cs="方正仿宋_GBK"/>
          <w:sz w:val="32"/>
          <w:szCs w:val="32"/>
        </w:rPr>
        <w:t>。</w:t>
      </w:r>
    </w:p>
    <w:p w14:paraId="3CDBBD8B">
      <w:pPr>
        <w:pStyle w:val="2"/>
        <w:spacing w:line="360" w:lineRule="auto"/>
        <w:ind w:left="638" w:leftChars="304"/>
        <w:rPr>
          <w:rFonts w:ascii="Times New Roman" w:hAnsi="Times New Roman" w:eastAsia="方正仿宋_GBK" w:cs="方正仿宋_GBK"/>
          <w:b w:val="0"/>
          <w:bCs w:val="0"/>
          <w:sz w:val="32"/>
          <w:szCs w:val="32"/>
        </w:rPr>
      </w:pPr>
    </w:p>
    <w:p w14:paraId="55035922">
      <w:pPr>
        <w:pStyle w:val="2"/>
        <w:spacing w:line="360" w:lineRule="auto"/>
        <w:ind w:firstLine="640" w:firstLineChars="200"/>
        <w:rPr>
          <w:rFonts w:ascii="Times New Roman" w:hAnsi="Times New Roman" w:eastAsia="方正黑体_GBK" w:cs="方正黑体_GBK"/>
          <w:b w:val="0"/>
          <w:bCs w:val="0"/>
          <w:sz w:val="32"/>
          <w:szCs w:val="32"/>
          <w:highlight w:val="none"/>
        </w:rPr>
      </w:pPr>
      <w:r>
        <w:rPr>
          <w:rFonts w:hint="eastAsia" w:ascii="Times New Roman" w:hAnsi="Times New Roman" w:eastAsia="方正黑体_GBK" w:cs="方正黑体_GBK"/>
          <w:b w:val="0"/>
          <w:bCs w:val="0"/>
          <w:sz w:val="32"/>
          <w:szCs w:val="32"/>
          <w:highlight w:val="none"/>
        </w:rPr>
        <w:t>项目十九：重庆药食同源中药及特色植物资源大健康产品综合开发与利用</w:t>
      </w:r>
    </w:p>
    <w:p w14:paraId="7C7F4CCF">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三峡库区中药材产业链条短、产品附加值低、经济效益不高，中药农业和中药工业的紧密度较低，中药材产业市场风险较大，植物资源大健康产品综合开发与利用不够等特点，深度挖掘和梳理黄精、黄蜀葵等药食同源中药及莼菜等特色植物资源，深入开展功效物质成分研究，制修订系列标准，解决市场准入问题，突破制约产业发展的瓶颈问题。开展功能因子挖掘与评价，开发功效确切的、具有重庆辨识度和影响力的系列大健康产品，构建完善的产业链条，打造产业发展新赛道</w:t>
      </w:r>
      <w:r>
        <w:rPr>
          <w:rFonts w:hint="eastAsia" w:ascii="Times New Roman" w:hAnsi="Times New Roman" w:eastAsia="方正仿宋_GBK" w:cs="方正仿宋_GBK"/>
          <w:sz w:val="32"/>
          <w:szCs w:val="32"/>
        </w:rPr>
        <w:t>。</w:t>
      </w:r>
    </w:p>
    <w:p w14:paraId="3AB28AC6">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建立黄精、黄蜀葵等药食同源中药及莼菜等特色植物资源基础化学成分动态变化数据库1个；申报新食品原料1个及以上；制修订食品安全地方标准1个及以上；开发大健康产品2个及以上，延伸开发副产品2个；在 2 家以上企业开展推广应用</w:t>
      </w:r>
      <w:r>
        <w:rPr>
          <w:rFonts w:hint="eastAsia" w:ascii="Times New Roman" w:hAnsi="Times New Roman" w:eastAsia="方正仿宋_GBK" w:cs="方正仿宋_GBK"/>
          <w:sz w:val="32"/>
          <w:szCs w:val="32"/>
        </w:rPr>
        <w:t>。</w:t>
      </w:r>
    </w:p>
    <w:p w14:paraId="6E82A538">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拟支持1项，市级财政经费资助不超过150万元，承担单位出资不低于450万元</w:t>
      </w:r>
      <w:r>
        <w:rPr>
          <w:rFonts w:hint="eastAsia" w:ascii="Times New Roman" w:hAnsi="Times New Roman" w:eastAsia="方正仿宋_GBK" w:cs="方正仿宋_GBK"/>
          <w:sz w:val="32"/>
          <w:szCs w:val="32"/>
        </w:rPr>
        <w:t>。</w:t>
      </w:r>
    </w:p>
    <w:p w14:paraId="250946A3">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6FE7A744">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127C5D62">
      <w:pPr>
        <w:spacing w:line="360" w:lineRule="auto"/>
        <w:ind w:firstLine="640" w:firstLineChars="200"/>
        <w:rPr>
          <w:rFonts w:hint="eastAsia" w:ascii="方正仿宋_GBK" w:eastAsia="方正仿宋_GBK"/>
          <w:color w:val="000000" w:themeColor="text1"/>
          <w:sz w:val="32"/>
          <w:szCs w:val="32"/>
          <w:lang w:eastAsia="zh-CN"/>
          <w14:textFill>
            <w14:solidFill>
              <w14:schemeClr w14:val="tx1"/>
            </w14:solidFill>
          </w14:textFill>
        </w:rPr>
      </w:pPr>
      <w:r>
        <w:rPr>
          <w:rFonts w:ascii="Times New Roman" w:hAnsi="Times New Roman" w:eastAsia="方正楷体_GBK" w:cs="Times New Roman"/>
          <w:color w:val="000000"/>
          <w:sz w:val="32"/>
          <w:szCs w:val="32"/>
        </w:rPr>
        <w:t>6.申报条件：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医疗机构、高校、科研院所或企业牵头，鼓励产学研合作</w:t>
      </w:r>
      <w:r>
        <w:rPr>
          <w:rFonts w:hint="eastAsia" w:ascii="方正仿宋_GBK" w:eastAsia="方正仿宋_GBK"/>
          <w:color w:val="000000" w:themeColor="text1"/>
          <w:sz w:val="32"/>
          <w:szCs w:val="32"/>
          <w14:textFill>
            <w14:solidFill>
              <w14:schemeClr w14:val="tx1"/>
            </w14:solidFill>
          </w14:textFill>
        </w:rPr>
        <w:t>。</w:t>
      </w:r>
    </w:p>
    <w:p w14:paraId="2508C38E">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7.其他说明：</w:t>
      </w:r>
      <w:r>
        <w:rPr>
          <w:rFonts w:ascii="Times New Roman" w:hAnsi="Times New Roman" w:eastAsia="方正仿宋_GBK" w:cs="方正仿宋_GBK"/>
          <w:sz w:val="32"/>
          <w:szCs w:val="32"/>
        </w:rPr>
        <w:t>联合科技型中小企业研发的优先支持。</w:t>
      </w:r>
    </w:p>
    <w:p w14:paraId="5C42EF22">
      <w:pPr>
        <w:pStyle w:val="2"/>
        <w:spacing w:line="360" w:lineRule="auto"/>
        <w:ind w:left="638" w:leftChars="304"/>
        <w:rPr>
          <w:rFonts w:ascii="Times New Roman" w:hAnsi="Times New Roman" w:eastAsia="方正仿宋_GBK" w:cs="方正仿宋_GBK"/>
          <w:b w:val="0"/>
          <w:bCs w:val="0"/>
          <w:sz w:val="32"/>
          <w:szCs w:val="32"/>
        </w:rPr>
      </w:pPr>
    </w:p>
    <w:p w14:paraId="0EDCCF4F">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项目二十：中医药特色制剂研发与应用</w:t>
      </w:r>
    </w:p>
    <w:p w14:paraId="4809C903">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hAnsi="方正仿宋_GBK" w:eastAsia="方正仿宋_GBK" w:cs="方正仿宋_GBK"/>
          <w:color w:val="000000" w:themeColor="text1"/>
          <w:sz w:val="32"/>
          <w:szCs w:val="32"/>
          <w14:textFill>
            <w14:solidFill>
              <w14:schemeClr w14:val="tx1"/>
            </w14:solidFill>
          </w14:textFill>
        </w:rPr>
        <w:t>针对银屑病、滑膜炎、甲状腺结节等常见病、多发病，迁延不愈的顽固疾病，发挥传统中医药特色优势，开展基于人用经验在临床用药和治疗过程中积累的对中药处方与其适用人群、用药剂量、疗效特点和临床获益等研究，推动构建中医药理论、人用经验、临床试验相结合的中医药特色制剂研究，开展处方优化、药学、药理毒理、临床试验等规范化标准化研究，结合现代科学技术，阐释特色制剂 “君、臣、佐、使”配伍原则和治疗相关疾病的科学内涵，研究开发中药特色制剂</w:t>
      </w:r>
      <w:r>
        <w:rPr>
          <w:rFonts w:hint="eastAsia" w:ascii="Times New Roman" w:hAnsi="Times New Roman" w:eastAsia="方正仿宋_GBK" w:cs="方正仿宋_GBK"/>
          <w:sz w:val="32"/>
          <w:szCs w:val="32"/>
        </w:rPr>
        <w:t>。</w:t>
      </w:r>
    </w:p>
    <w:p w14:paraId="3A716496">
      <w:pPr>
        <w:spacing w:line="360" w:lineRule="auto"/>
        <w:ind w:firstLine="640" w:firstLineChars="200"/>
        <w:rPr>
          <w:rFonts w:ascii="Times New Roman" w:hAnsi="Times New Roman" w:eastAsia="方正仿宋_GBK" w:cs="方正仿宋_GBK"/>
          <w:sz w:val="32"/>
          <w:szCs w:val="32"/>
        </w:rPr>
      </w:pPr>
      <w:r>
        <w:rPr>
          <w:rFonts w:hint="eastAsia" w:ascii="Times New Roman" w:hAnsi="Times New Roman" w:eastAsia="方正楷体_GBK" w:cs="Times New Roman"/>
          <w:color w:val="000000"/>
          <w:sz w:val="32"/>
          <w:szCs w:val="32"/>
        </w:rPr>
        <w:t>2.考核指标：</w:t>
      </w:r>
      <w:r>
        <w:rPr>
          <w:rFonts w:hint="eastAsia" w:ascii="方正仿宋_GBK" w:hAnsi="方正仿宋_GBK" w:eastAsia="方正仿宋_GBK" w:cs="方正仿宋_GBK"/>
          <w:color w:val="000000" w:themeColor="text1"/>
          <w:sz w:val="32"/>
          <w:szCs w:val="32"/>
          <w14:textFill>
            <w14:solidFill>
              <w14:schemeClr w14:val="tx1"/>
            </w14:solidFill>
          </w14:textFill>
        </w:rPr>
        <w:t>完成中医药特色制剂的处方研究，完成制备工艺、质量标准、药理学、毒理学研究，形成特色中药制剂申报材料，获得医院特色制剂临床研究批件，完成相应的临床研究。研发特色中药制剂1-3个，申请专利1-2件，发表高水平研究论文2篇以上</w:t>
      </w:r>
      <w:r>
        <w:rPr>
          <w:rFonts w:hint="eastAsia" w:ascii="Times New Roman" w:hAnsi="Times New Roman" w:eastAsia="方正仿宋_GBK" w:cs="方正仿宋_GBK"/>
          <w:sz w:val="32"/>
          <w:szCs w:val="32"/>
        </w:rPr>
        <w:t>。</w:t>
      </w:r>
    </w:p>
    <w:p w14:paraId="2B2CA8EF">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拟支持1项，市级财政经费资助不超过150万元</w:t>
      </w:r>
      <w:r>
        <w:rPr>
          <w:rFonts w:hint="eastAsia" w:ascii="Times New Roman" w:hAnsi="Times New Roman" w:eastAsia="方正仿宋_GBK" w:cs="方正仿宋_GBK"/>
          <w:sz w:val="32"/>
          <w:szCs w:val="32"/>
        </w:rPr>
        <w:t>。</w:t>
      </w:r>
    </w:p>
    <w:p w14:paraId="6B599584">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66C9C7BC">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66006EF5">
      <w:pPr>
        <w:pStyle w:val="2"/>
        <w:spacing w:line="360" w:lineRule="auto"/>
        <w:ind w:left="638" w:leftChars="304"/>
        <w:rPr>
          <w:rFonts w:ascii="Times New Roman" w:hAnsi="Times New Roman" w:eastAsia="方正仿宋_GBK" w:cs="方正仿宋_GBK"/>
          <w:b w:val="0"/>
          <w:bCs w:val="0"/>
          <w:sz w:val="32"/>
          <w:szCs w:val="32"/>
        </w:rPr>
      </w:pPr>
      <w:r>
        <w:rPr>
          <w:rFonts w:ascii="Times New Roman" w:hAnsi="Times New Roman" w:eastAsia="方正楷体_GBK" w:cs="Times New Roman"/>
          <w:b w:val="0"/>
          <w:bCs w:val="0"/>
          <w:color w:val="000000"/>
          <w:sz w:val="32"/>
          <w:szCs w:val="32"/>
        </w:rPr>
        <w:t>6.申报条件：</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三甲医院或研究机构牵头，</w:t>
      </w:r>
      <w:r>
        <w:rPr>
          <w:rFonts w:ascii="Times New Roman" w:hAnsi="Times New Roman" w:eastAsia="方正仿宋_GBK" w:cs="方正仿宋_GBK"/>
          <w:b w:val="0"/>
          <w:bCs w:val="0"/>
          <w:sz w:val="32"/>
          <w:szCs w:val="32"/>
        </w:rPr>
        <w:t>鼓励产学研合</w:t>
      </w:r>
    </w:p>
    <w:p w14:paraId="3EDF70D5">
      <w:pPr>
        <w:pStyle w:val="2"/>
        <w:spacing w:line="360" w:lineRule="auto"/>
        <w:rPr>
          <w:rFonts w:hint="eastAsia" w:ascii="Times New Roman" w:hAnsi="Times New Roman" w:eastAsia="方正仿宋_GBK" w:cs="方正仿宋_GBK"/>
          <w:b w:val="0"/>
          <w:bCs w:val="0"/>
          <w:sz w:val="32"/>
          <w:szCs w:val="32"/>
          <w:lang w:eastAsia="zh-CN"/>
        </w:rPr>
      </w:pPr>
      <w:r>
        <w:rPr>
          <w:rFonts w:ascii="Times New Roman" w:hAnsi="Times New Roman" w:eastAsia="方正仿宋_GBK" w:cs="方正仿宋_GBK"/>
          <w:b w:val="0"/>
          <w:bCs w:val="0"/>
          <w:sz w:val="32"/>
          <w:szCs w:val="32"/>
        </w:rPr>
        <w:t>作</w:t>
      </w:r>
      <w:r>
        <w:rPr>
          <w:rFonts w:hint="eastAsia" w:ascii="Times New Roman" w:hAnsi="Times New Roman" w:eastAsia="方正仿宋_GBK" w:cs="方正仿宋_GBK"/>
          <w:b w:val="0"/>
          <w:bCs w:val="0"/>
          <w:sz w:val="32"/>
          <w:szCs w:val="32"/>
        </w:rPr>
        <w:t>。</w:t>
      </w:r>
    </w:p>
    <w:p w14:paraId="39AD89EA">
      <w:pPr>
        <w:pStyle w:val="2"/>
        <w:spacing w:line="360" w:lineRule="auto"/>
        <w:rPr>
          <w:rFonts w:ascii="Times New Roman" w:hAnsi="Times New Roman" w:eastAsia="方正仿宋_GBK" w:cs="方正仿宋_GBK"/>
          <w:b w:val="0"/>
          <w:bCs w:val="0"/>
          <w:sz w:val="32"/>
          <w:szCs w:val="32"/>
        </w:rPr>
      </w:pPr>
      <w:r>
        <w:rPr>
          <w:rFonts w:hint="eastAsia" w:ascii="Times New Roman" w:hAnsi="Times New Roman" w:eastAsia="方正仿宋_GBK" w:cs="方正仿宋_GBK"/>
          <w:sz w:val="32"/>
          <w:szCs w:val="32"/>
        </w:rPr>
        <w:t xml:space="preserve">    </w:t>
      </w:r>
      <w:r>
        <w:rPr>
          <w:rFonts w:ascii="Times New Roman" w:hAnsi="Times New Roman" w:eastAsia="方正楷体_GBK" w:cs="Times New Roman"/>
          <w:b w:val="0"/>
          <w:bCs w:val="0"/>
          <w:color w:val="000000"/>
          <w:sz w:val="32"/>
          <w:szCs w:val="32"/>
        </w:rPr>
        <w:t>7.其他说明：</w:t>
      </w:r>
      <w:r>
        <w:rPr>
          <w:rFonts w:ascii="Times New Roman" w:hAnsi="Times New Roman" w:eastAsia="方正仿宋_GBK" w:cs="方正仿宋_GBK"/>
          <w:b w:val="0"/>
          <w:bCs w:val="0"/>
          <w:sz w:val="32"/>
          <w:szCs w:val="32"/>
        </w:rPr>
        <w:t>联合科技型中小企业研发的优先支持。</w:t>
      </w:r>
    </w:p>
    <w:p w14:paraId="5190B8D6">
      <w:pPr>
        <w:pStyle w:val="2"/>
        <w:spacing w:line="360" w:lineRule="auto"/>
        <w:ind w:firstLine="640" w:firstLineChars="200"/>
        <w:rPr>
          <w:rFonts w:ascii="Times New Roman" w:hAnsi="Times New Roman" w:eastAsia="方正黑体_GBK" w:cs="方正黑体_GBK"/>
          <w:b w:val="0"/>
          <w:bCs w:val="0"/>
          <w:sz w:val="32"/>
          <w:szCs w:val="32"/>
        </w:rPr>
      </w:pPr>
    </w:p>
    <w:p w14:paraId="267A7E93">
      <w:pPr>
        <w:pStyle w:val="2"/>
        <w:spacing w:line="360" w:lineRule="auto"/>
        <w:ind w:firstLine="640" w:firstLineChars="200"/>
        <w:rPr>
          <w:rFonts w:hint="eastAsia" w:ascii="方正楷体_GBK" w:hAnsi="方正楷体_GBK" w:eastAsia="方正楷体_GBK" w:cs="方正楷体_GBK"/>
          <w:b w:val="0"/>
          <w:bCs w:val="0"/>
          <w:sz w:val="32"/>
          <w:szCs w:val="32"/>
        </w:rPr>
      </w:pPr>
      <w:r>
        <w:rPr>
          <w:rFonts w:hint="eastAsia" w:ascii="Times New Roman" w:hAnsi="Times New Roman" w:eastAsia="方正黑体_GBK" w:cs="方正黑体_GBK"/>
          <w:b w:val="0"/>
          <w:bCs w:val="0"/>
          <w:sz w:val="32"/>
          <w:szCs w:val="32"/>
        </w:rPr>
        <w:t>项目二十一：自然人群健康大数据体系的研发构建与实践研究</w:t>
      </w:r>
      <w:r>
        <w:rPr>
          <w:rFonts w:hint="eastAsia" w:ascii="方正楷体_GBK" w:hAnsi="方正楷体_GBK" w:eastAsia="方正楷体_GBK" w:cs="方正楷体_GBK"/>
          <w:b w:val="0"/>
          <w:bCs w:val="0"/>
          <w:sz w:val="32"/>
          <w:szCs w:val="40"/>
          <w:lang w:eastAsia="zh-CN"/>
        </w:rPr>
        <w:t>（</w:t>
      </w:r>
      <w:r>
        <w:rPr>
          <w:rFonts w:hint="eastAsia" w:ascii="方正楷体_GBK" w:hAnsi="方正楷体_GBK" w:eastAsia="方正楷体_GBK" w:cs="方正楷体_GBK"/>
          <w:b w:val="0"/>
          <w:bCs w:val="0"/>
          <w:sz w:val="32"/>
          <w:szCs w:val="40"/>
          <w:lang w:val="en-US" w:eastAsia="zh-CN"/>
        </w:rPr>
        <w:t>定向委托</w:t>
      </w:r>
      <w:r>
        <w:rPr>
          <w:rFonts w:hint="eastAsia" w:ascii="方正楷体_GBK" w:hAnsi="方正楷体_GBK" w:eastAsia="方正楷体_GBK" w:cs="方正楷体_GBK"/>
          <w:b w:val="0"/>
          <w:bCs w:val="0"/>
          <w:sz w:val="32"/>
          <w:szCs w:val="40"/>
          <w:lang w:eastAsia="zh-CN"/>
        </w:rPr>
        <w:t>）</w:t>
      </w:r>
    </w:p>
    <w:p w14:paraId="23652BA3">
      <w:pPr>
        <w:pStyle w:val="2"/>
        <w:spacing w:line="360" w:lineRule="auto"/>
        <w:ind w:left="638" w:leftChars="304"/>
        <w:rPr>
          <w:rFonts w:ascii="Times New Roman" w:hAnsi="Times New Roman" w:eastAsia="方正仿宋_GBK" w:cs="方正仿宋_GBK"/>
          <w:b w:val="0"/>
          <w:bCs w:val="0"/>
          <w:sz w:val="32"/>
          <w:szCs w:val="32"/>
        </w:rPr>
      </w:pPr>
    </w:p>
    <w:p w14:paraId="0FE33A69">
      <w:pPr>
        <w:pStyle w:val="2"/>
        <w:spacing w:line="360" w:lineRule="auto"/>
        <w:ind w:firstLine="582" w:firstLineChars="200"/>
        <w:rPr>
          <w:rFonts w:hint="eastAsia" w:ascii="方正楷体_GBK" w:hAnsi="方正楷体_GBK" w:eastAsia="方正楷体_GBK" w:cs="方正楷体_GBK"/>
          <w:b w:val="0"/>
          <w:bCs w:val="0"/>
          <w:w w:val="91"/>
          <w:sz w:val="32"/>
          <w:szCs w:val="32"/>
        </w:rPr>
      </w:pPr>
      <w:r>
        <w:rPr>
          <w:rFonts w:hint="eastAsia" w:ascii="Times New Roman" w:hAnsi="Times New Roman" w:eastAsia="方正黑体_GBK" w:cs="方正黑体_GBK"/>
          <w:b w:val="0"/>
          <w:bCs w:val="0"/>
          <w:w w:val="91"/>
          <w:sz w:val="32"/>
          <w:szCs w:val="32"/>
        </w:rPr>
        <w:t>项目二十二：人体细胞资源的采集与保藏体系研究</w:t>
      </w:r>
      <w:r>
        <w:rPr>
          <w:rFonts w:hint="eastAsia" w:ascii="方正楷体_GBK" w:hAnsi="方正楷体_GBK" w:eastAsia="方正楷体_GBK" w:cs="方正楷体_GBK"/>
          <w:b w:val="0"/>
          <w:bCs w:val="0"/>
          <w:w w:val="91"/>
          <w:sz w:val="32"/>
          <w:szCs w:val="40"/>
          <w:lang w:eastAsia="zh-CN"/>
        </w:rPr>
        <w:t>（</w:t>
      </w:r>
      <w:r>
        <w:rPr>
          <w:rFonts w:hint="eastAsia" w:ascii="方正楷体_GBK" w:hAnsi="方正楷体_GBK" w:eastAsia="方正楷体_GBK" w:cs="方正楷体_GBK"/>
          <w:b w:val="0"/>
          <w:bCs w:val="0"/>
          <w:w w:val="91"/>
          <w:sz w:val="32"/>
          <w:szCs w:val="40"/>
          <w:lang w:val="en-US" w:eastAsia="zh-CN"/>
        </w:rPr>
        <w:t>定向委托</w:t>
      </w:r>
      <w:r>
        <w:rPr>
          <w:rFonts w:hint="eastAsia" w:ascii="方正楷体_GBK" w:hAnsi="方正楷体_GBK" w:eastAsia="方正楷体_GBK" w:cs="方正楷体_GBK"/>
          <w:b w:val="0"/>
          <w:bCs w:val="0"/>
          <w:w w:val="91"/>
          <w:sz w:val="32"/>
          <w:szCs w:val="40"/>
          <w:lang w:eastAsia="zh-CN"/>
        </w:rPr>
        <w:t>）</w:t>
      </w:r>
    </w:p>
    <w:p w14:paraId="02793BED">
      <w:pPr>
        <w:pStyle w:val="2"/>
        <w:spacing w:line="360" w:lineRule="auto"/>
        <w:ind w:left="638" w:leftChars="304"/>
        <w:rPr>
          <w:rFonts w:ascii="Times New Roman" w:hAnsi="Times New Roman" w:eastAsia="方正仿宋_GBK" w:cs="方正仿宋_GBK"/>
          <w:b w:val="0"/>
          <w:bCs w:val="0"/>
          <w:sz w:val="32"/>
          <w:szCs w:val="32"/>
        </w:rPr>
      </w:pPr>
    </w:p>
    <w:p w14:paraId="7C161119">
      <w:pPr>
        <w:pStyle w:val="2"/>
        <w:spacing w:line="360" w:lineRule="auto"/>
        <w:ind w:firstLine="608" w:firstLineChars="200"/>
        <w:rPr>
          <w:rFonts w:hint="eastAsia" w:ascii="方正楷体_GBK" w:hAnsi="方正楷体_GBK" w:eastAsia="方正楷体_GBK" w:cs="方正楷体_GBK"/>
          <w:b w:val="0"/>
          <w:bCs w:val="0"/>
          <w:w w:val="95"/>
          <w:sz w:val="32"/>
          <w:szCs w:val="40"/>
          <w:lang w:eastAsia="zh-CN"/>
        </w:rPr>
      </w:pPr>
      <w:r>
        <w:rPr>
          <w:rFonts w:hint="eastAsia" w:ascii="Times New Roman" w:hAnsi="Times New Roman" w:eastAsia="方正黑体_GBK" w:cs="方正黑体_GBK"/>
          <w:b w:val="0"/>
          <w:bCs w:val="0"/>
          <w:w w:val="95"/>
          <w:sz w:val="32"/>
          <w:szCs w:val="32"/>
        </w:rPr>
        <w:t>项目二十三：</w:t>
      </w:r>
      <w:r>
        <w:rPr>
          <w:rFonts w:hint="eastAsia" w:ascii="Times New Roman" w:hAnsi="Times New Roman" w:eastAsia="方正黑体_GBK" w:cs="方正黑体_GBK"/>
          <w:b w:val="0"/>
          <w:bCs w:val="0"/>
          <w:w w:val="95"/>
          <w:sz w:val="32"/>
          <w:szCs w:val="32"/>
          <w:lang w:val="en-US" w:eastAsia="zh-CN"/>
        </w:rPr>
        <w:t>渝东北大规模自然人群队列建设</w:t>
      </w:r>
      <w:r>
        <w:rPr>
          <w:rFonts w:hint="eastAsia" w:ascii="方正楷体_GBK" w:hAnsi="方正楷体_GBK" w:eastAsia="方正楷体_GBK" w:cs="方正楷体_GBK"/>
          <w:b w:val="0"/>
          <w:bCs w:val="0"/>
          <w:w w:val="95"/>
          <w:sz w:val="32"/>
          <w:szCs w:val="40"/>
          <w:lang w:eastAsia="zh-CN"/>
        </w:rPr>
        <w:t>（</w:t>
      </w:r>
      <w:r>
        <w:rPr>
          <w:rFonts w:hint="eastAsia" w:ascii="方正楷体_GBK" w:hAnsi="方正楷体_GBK" w:eastAsia="方正楷体_GBK" w:cs="方正楷体_GBK"/>
          <w:b w:val="0"/>
          <w:bCs w:val="0"/>
          <w:w w:val="95"/>
          <w:sz w:val="32"/>
          <w:szCs w:val="40"/>
          <w:lang w:val="en-US" w:eastAsia="zh-CN"/>
        </w:rPr>
        <w:t>定向委托</w:t>
      </w:r>
      <w:r>
        <w:rPr>
          <w:rFonts w:hint="eastAsia" w:ascii="方正楷体_GBK" w:hAnsi="方正楷体_GBK" w:eastAsia="方正楷体_GBK" w:cs="方正楷体_GBK"/>
          <w:b w:val="0"/>
          <w:bCs w:val="0"/>
          <w:w w:val="95"/>
          <w:sz w:val="32"/>
          <w:szCs w:val="40"/>
          <w:lang w:eastAsia="zh-CN"/>
        </w:rPr>
        <w:t>）</w:t>
      </w:r>
    </w:p>
    <w:p w14:paraId="2E55E300">
      <w:pPr>
        <w:pStyle w:val="2"/>
        <w:spacing w:line="360" w:lineRule="auto"/>
        <w:ind w:firstLine="640" w:firstLineChars="200"/>
        <w:rPr>
          <w:rFonts w:hint="eastAsia" w:ascii="方正楷体_GBK" w:hAnsi="方正楷体_GBK" w:eastAsia="方正楷体_GBK" w:cs="方正楷体_GBK"/>
          <w:b w:val="0"/>
          <w:bCs w:val="0"/>
          <w:sz w:val="32"/>
          <w:szCs w:val="40"/>
          <w:lang w:eastAsia="zh-CN"/>
        </w:rPr>
      </w:pPr>
    </w:p>
    <w:p w14:paraId="759AF679">
      <w:pPr>
        <w:pStyle w:val="2"/>
        <w:spacing w:line="360" w:lineRule="auto"/>
        <w:ind w:firstLine="640" w:firstLineChars="200"/>
        <w:rPr>
          <w:rFonts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项目二十四：成渝经济区运动精准监测技术的科学健身创新应用</w:t>
      </w:r>
    </w:p>
    <w:p w14:paraId="54EE6CAD">
      <w:pPr>
        <w:spacing w:line="360" w:lineRule="auto"/>
        <w:ind w:firstLine="640" w:firstLineChars="200"/>
        <w:rPr>
          <w:rFonts w:ascii="Times New Roman" w:hAnsi="Times New Roman" w:eastAsia="方正仿宋_GBK" w:cs="方正仿宋_GBK"/>
          <w:sz w:val="32"/>
          <w:szCs w:val="32"/>
        </w:rPr>
      </w:pPr>
      <w:r>
        <w:rPr>
          <w:rFonts w:ascii="Times New Roman" w:hAnsi="Times New Roman" w:eastAsia="方正楷体_GBK" w:cs="Times New Roman"/>
          <w:color w:val="000000"/>
          <w:sz w:val="32"/>
          <w:szCs w:val="32"/>
        </w:rPr>
        <w:t>1.拟解决问题：</w:t>
      </w:r>
      <w:r>
        <w:rPr>
          <w:rFonts w:hint="eastAsia" w:ascii="方正仿宋_GBK" w:eastAsia="方正仿宋_GBK"/>
          <w:color w:val="000000" w:themeColor="text1"/>
          <w:sz w:val="32"/>
          <w:szCs w:val="32"/>
          <w14:textFill>
            <w14:solidFill>
              <w14:schemeClr w14:val="tx1"/>
            </w14:solidFill>
          </w14:textFill>
        </w:rPr>
        <w:t>针对科学健身指导的缺乏、运动数据收集与分析的不足、传统健身方式的单一性和局限性以及运动健康领域的标准化和规范化等问题。构建多模态运动动作采集系统，研发融合多模态数据的细粒度人体运动动作精准估计技术，建立运动动作检测精度指标体系；基于可穿戴式智能健康设备，研发多场景下高精度心率变异性检测技术与测评系统；研发多运动场景智能化运动健康设备产品管理平台的集成建设关键技术，建立技术性能测试规范、产品综合测试平台和认证体系；构建覆盖“健康-亚健康-慢病人群”多属性、覆盖多场景的科学健身指导服务新模式，在川渝地区进行应用示范</w:t>
      </w:r>
      <w:r>
        <w:rPr>
          <w:rFonts w:hint="eastAsia" w:ascii="Times New Roman" w:hAnsi="Times New Roman" w:eastAsia="方正仿宋_GBK" w:cs="方正仿宋_GBK"/>
          <w:sz w:val="32"/>
          <w:szCs w:val="32"/>
        </w:rPr>
        <w:t>。</w:t>
      </w:r>
    </w:p>
    <w:p w14:paraId="59CC1844">
      <w:pPr>
        <w:spacing w:line="360" w:lineRule="auto"/>
        <w:ind w:firstLine="640" w:firstLineChars="200"/>
        <w:rPr>
          <w:rFonts w:ascii="方正仿宋_GBK" w:eastAsia="方正仿宋_GBK"/>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sz w:val="32"/>
          <w:szCs w:val="32"/>
        </w:rPr>
        <w:t>2.考核指标：</w:t>
      </w:r>
      <w:r>
        <w:rPr>
          <w:rFonts w:hint="eastAsia" w:ascii="方正仿宋_GBK" w:eastAsia="方正仿宋_GBK"/>
          <w:color w:val="000000" w:themeColor="text1"/>
          <w:sz w:val="32"/>
          <w:szCs w:val="32"/>
          <w14:textFill>
            <w14:solidFill>
              <w14:schemeClr w14:val="tx1"/>
            </w14:solidFill>
          </w14:textFill>
        </w:rPr>
        <w:t>研发运动动作检测精度检测系统，支持运动项目不少于20个，精度误差&lt;0.5%；研发心率变异性检测系统的测评方法和系统1套，覆盖运动场景</w:t>
      </w:r>
      <w:bookmarkStart w:id="0" w:name="OLE_LINK1"/>
      <w:r>
        <w:rPr>
          <w:rFonts w:hint="eastAsia" w:ascii="方正仿宋_GBK" w:eastAsia="方正仿宋_GBK"/>
          <w:color w:val="000000" w:themeColor="text1"/>
          <w:sz w:val="32"/>
          <w:szCs w:val="32"/>
          <w14:textFill>
            <w14:solidFill>
              <w14:schemeClr w14:val="tx1"/>
            </w14:solidFill>
          </w14:textFill>
        </w:rPr>
        <w:t>≥</w:t>
      </w:r>
      <w:bookmarkEnd w:id="0"/>
      <w:r>
        <w:rPr>
          <w:rFonts w:hint="eastAsia" w:ascii="方正仿宋_GBK" w:eastAsia="方正仿宋_GBK"/>
          <w:color w:val="000000" w:themeColor="text1"/>
          <w:sz w:val="32"/>
          <w:szCs w:val="32"/>
          <w14:textFill>
            <w14:solidFill>
              <w14:schemeClr w14:val="tx1"/>
            </w14:solidFill>
          </w14:textFill>
        </w:rPr>
        <w:t>10个，心率检波算法误差均小于0.1%；建设智能化运动健康设备产品和健康数据管理服务平台1个，建设健康大数据中心1-2个，构建科学健身服务新模式≥1个，提供科学健身指导方案≥2种，建立社区运动健康中心≥1个，提供共享服务≥100万次，牵头制定行业标准≥1项、团体标准≥2项，申请发明专利≥5项。</w:t>
      </w:r>
    </w:p>
    <w:p w14:paraId="05CBC65E">
      <w:pPr>
        <w:spacing w:line="360" w:lineRule="auto"/>
        <w:ind w:firstLine="640" w:firstLineChars="200"/>
        <w:rPr>
          <w:rFonts w:ascii="Times New Roman" w:hAnsi="Times New Roman" w:eastAsia="方正楷体_GBK" w:cs="方正楷体_GBK"/>
          <w:color w:val="000000"/>
          <w:sz w:val="32"/>
          <w:szCs w:val="32"/>
        </w:rPr>
      </w:pPr>
      <w:r>
        <w:rPr>
          <w:rFonts w:hint="eastAsia" w:ascii="Times New Roman" w:hAnsi="Times New Roman" w:eastAsia="方正楷体_GBK" w:cs="Times New Roman"/>
          <w:color w:val="000000"/>
          <w:sz w:val="32"/>
          <w:szCs w:val="32"/>
        </w:rPr>
        <w:t>3.资助强度及方式：</w:t>
      </w:r>
      <w:r>
        <w:rPr>
          <w:rFonts w:hint="eastAsia" w:ascii="方正仿宋_GBK" w:eastAsia="方正仿宋_GBK"/>
          <w:color w:val="000000" w:themeColor="text1"/>
          <w:sz w:val="32"/>
          <w:szCs w:val="32"/>
          <w14:textFill>
            <w14:solidFill>
              <w14:schemeClr w14:val="tx1"/>
            </w14:solidFill>
          </w14:textFill>
        </w:rPr>
        <w:t>拟支持1项，市级财政经费资助不超过100万元，承担单位出资不低于100万元</w:t>
      </w:r>
      <w:r>
        <w:rPr>
          <w:rFonts w:hint="eastAsia" w:ascii="Times New Roman" w:hAnsi="Times New Roman" w:eastAsia="方正仿宋_GBK" w:cs="方正仿宋_GBK"/>
          <w:sz w:val="32"/>
          <w:szCs w:val="32"/>
        </w:rPr>
        <w:t>。</w:t>
      </w:r>
    </w:p>
    <w:p w14:paraId="7585B992">
      <w:pPr>
        <w:spacing w:line="360" w:lineRule="auto"/>
        <w:ind w:firstLine="640" w:firstLineChars="200"/>
        <w:rPr>
          <w:rFonts w:ascii="Times New Roman" w:hAnsi="Times New Roman" w:eastAsia="方正楷体_GBK" w:cs="方正楷体_GBK"/>
          <w:sz w:val="32"/>
          <w:szCs w:val="40"/>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实施周期：</w:t>
      </w:r>
      <w:r>
        <w:rPr>
          <w:rFonts w:ascii="Times New Roman" w:hAnsi="Times New Roman" w:eastAsia="方正仿宋_GBK" w:cs="方正仿宋_GBK"/>
          <w:sz w:val="32"/>
          <w:szCs w:val="32"/>
        </w:rPr>
        <w:t>不超过3年。</w:t>
      </w:r>
    </w:p>
    <w:p w14:paraId="262D0370">
      <w:pPr>
        <w:spacing w:line="360" w:lineRule="auto"/>
        <w:ind w:left="319" w:leftChars="152" w:firstLine="320" w:firstLineChars="100"/>
        <w:rPr>
          <w:rFonts w:ascii="Times New Roman" w:hAnsi="Times New Roman" w:eastAsia="FZKTK--GBK1-0" w:cs="FZKTK--GBK1-0"/>
          <w:color w:val="000000"/>
          <w:sz w:val="32"/>
          <w:szCs w:val="32"/>
        </w:rPr>
      </w:pPr>
      <w:r>
        <w:rPr>
          <w:rFonts w:ascii="Times New Roman" w:hAnsi="Times New Roman" w:eastAsia="方正楷体_GBK" w:cs="Times New Roman"/>
          <w:color w:val="000000"/>
          <w:sz w:val="32"/>
          <w:szCs w:val="32"/>
        </w:rPr>
        <w:t>5.组织方式：</w:t>
      </w:r>
      <w:r>
        <w:rPr>
          <w:rFonts w:ascii="Times New Roman" w:hAnsi="Times New Roman" w:eastAsia="方正仿宋_GBK" w:cs="方正仿宋_GBK"/>
          <w:sz w:val="32"/>
          <w:szCs w:val="32"/>
        </w:rPr>
        <w:t>公开竞争</w:t>
      </w:r>
      <w:r>
        <w:rPr>
          <w:rFonts w:hint="eastAsia" w:ascii="Times New Roman" w:hAnsi="Times New Roman" w:eastAsia="方正仿宋_GBK" w:cs="方正仿宋_GBK"/>
          <w:sz w:val="32"/>
          <w:szCs w:val="32"/>
        </w:rPr>
        <w:t>。</w:t>
      </w:r>
    </w:p>
    <w:p w14:paraId="27E99AA8">
      <w:pPr>
        <w:pStyle w:val="2"/>
        <w:spacing w:line="360" w:lineRule="auto"/>
        <w:ind w:left="638" w:leftChars="304"/>
        <w:rPr>
          <w:rFonts w:ascii="Times New Roman" w:hAnsi="Times New Roman" w:eastAsia="方正仿宋_GBK" w:cs="方正仿宋_GBK"/>
          <w:b w:val="0"/>
          <w:bCs w:val="0"/>
          <w:sz w:val="32"/>
          <w:szCs w:val="32"/>
        </w:rPr>
      </w:pPr>
      <w:r>
        <w:rPr>
          <w:rFonts w:ascii="Times New Roman" w:hAnsi="Times New Roman" w:eastAsia="方正楷体_GBK" w:cs="Times New Roman"/>
          <w:b w:val="0"/>
          <w:bCs w:val="0"/>
          <w:color w:val="000000"/>
          <w:sz w:val="32"/>
          <w:szCs w:val="32"/>
        </w:rPr>
        <w:t>6.申报条件：</w:t>
      </w:r>
      <w:r>
        <w:rPr>
          <w:rFonts w:ascii="Times New Roman" w:hAnsi="Times New Roman" w:eastAsia="方正仿宋_GBK" w:cs="方正仿宋_GBK"/>
          <w:b w:val="0"/>
          <w:bCs w:val="0"/>
          <w:sz w:val="32"/>
          <w:szCs w:val="32"/>
        </w:rPr>
        <w:t>高校或科研院所牵头，鼓励产学研合作</w:t>
      </w:r>
      <w:r>
        <w:rPr>
          <w:rFonts w:hint="eastAsia" w:ascii="Times New Roman" w:hAnsi="Times New Roman" w:eastAsia="方正仿宋_GBK" w:cs="方正仿宋_GBK"/>
          <w:b w:val="0"/>
          <w:bCs w:val="0"/>
          <w:sz w:val="32"/>
          <w:szCs w:val="32"/>
        </w:rPr>
        <w:t>。</w:t>
      </w:r>
    </w:p>
    <w:p w14:paraId="47DEF6FF">
      <w:pPr>
        <w:pStyle w:val="2"/>
        <w:spacing w:line="360" w:lineRule="auto"/>
        <w:ind w:left="638" w:leftChars="304"/>
        <w:rPr>
          <w:rFonts w:ascii="Times New Roman" w:hAnsi="Times New Roman" w:eastAsia="方正仿宋_GBK" w:cs="方正仿宋_GBK"/>
          <w:b w:val="0"/>
          <w:bCs w:val="0"/>
          <w:sz w:val="32"/>
          <w:szCs w:val="32"/>
        </w:rPr>
      </w:pPr>
      <w:r>
        <w:rPr>
          <w:rFonts w:ascii="Times New Roman" w:hAnsi="Times New Roman" w:eastAsia="方正楷体_GBK" w:cs="Times New Roman"/>
          <w:b w:val="0"/>
          <w:bCs w:val="0"/>
          <w:color w:val="000000"/>
          <w:sz w:val="32"/>
          <w:szCs w:val="32"/>
        </w:rPr>
        <w:t>7.其他说明：</w:t>
      </w:r>
      <w:r>
        <w:rPr>
          <w:rFonts w:ascii="Times New Roman" w:hAnsi="Times New Roman" w:eastAsia="方正仿宋_GBK" w:cs="方正仿宋_GBK"/>
          <w:b w:val="0"/>
          <w:bCs w:val="0"/>
          <w:sz w:val="32"/>
          <w:szCs w:val="32"/>
        </w:rPr>
        <w:t>联合科技型中小企业研发的优先支持。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FZK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GNjNzYwMTJlMTBkMDg5Nzk5MmY3NGEwYzJiMWYifQ=="/>
  </w:docVars>
  <w:rsids>
    <w:rsidRoot w:val="028C35A6"/>
    <w:rsid w:val="00BA1B2F"/>
    <w:rsid w:val="00C30C98"/>
    <w:rsid w:val="00F702CF"/>
    <w:rsid w:val="028C35A6"/>
    <w:rsid w:val="02A00F1E"/>
    <w:rsid w:val="04366EE8"/>
    <w:rsid w:val="085F1E92"/>
    <w:rsid w:val="0C0369A6"/>
    <w:rsid w:val="10935E5D"/>
    <w:rsid w:val="166D61D7"/>
    <w:rsid w:val="18247D40"/>
    <w:rsid w:val="18A137CE"/>
    <w:rsid w:val="296F4A23"/>
    <w:rsid w:val="2A701253"/>
    <w:rsid w:val="2D6147F0"/>
    <w:rsid w:val="2E4846D4"/>
    <w:rsid w:val="2EDD0428"/>
    <w:rsid w:val="351C625F"/>
    <w:rsid w:val="37215DAE"/>
    <w:rsid w:val="37A4078E"/>
    <w:rsid w:val="39870156"/>
    <w:rsid w:val="3B293484"/>
    <w:rsid w:val="3CAA05F4"/>
    <w:rsid w:val="3E485C87"/>
    <w:rsid w:val="3F6C7DE3"/>
    <w:rsid w:val="438759BB"/>
    <w:rsid w:val="462C2EF3"/>
    <w:rsid w:val="4A7D2EA4"/>
    <w:rsid w:val="4B005883"/>
    <w:rsid w:val="4E375A13"/>
    <w:rsid w:val="50572F4F"/>
    <w:rsid w:val="57C87742"/>
    <w:rsid w:val="5A1A070F"/>
    <w:rsid w:val="5AB02E22"/>
    <w:rsid w:val="5EC7698C"/>
    <w:rsid w:val="60774A87"/>
    <w:rsid w:val="60DC508E"/>
    <w:rsid w:val="683C3F47"/>
    <w:rsid w:val="709256A6"/>
    <w:rsid w:val="729328DA"/>
    <w:rsid w:val="765F7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2"/>
    <w:basedOn w:val="1"/>
    <w:unhideWhenUsed/>
    <w:qFormat/>
    <w:uiPriority w:val="99"/>
    <w:rPr>
      <w:rFonts w:ascii="仿宋_GB2312" w:hAnsi="宋体" w:eastAsia="仿宋_GB2312" w:cs="宋体"/>
      <w:b/>
      <w:bCs/>
      <w:sz w:val="44"/>
      <w:szCs w:val="44"/>
    </w:rPr>
  </w:style>
  <w:style w:type="paragraph" w:styleId="3">
    <w:name w:val="toa heading"/>
    <w:basedOn w:val="1"/>
    <w:next w:val="1"/>
    <w:qFormat/>
    <w:uiPriority w:val="0"/>
    <w:pPr>
      <w:spacing w:before="120"/>
    </w:pPr>
    <w:rPr>
      <w:rFonts w:ascii="Arial" w:hAnsi="Arial"/>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10642</Words>
  <Characters>11101</Characters>
  <Lines>80</Lines>
  <Paragraphs>22</Paragraphs>
  <TotalTime>7</TotalTime>
  <ScaleCrop>false</ScaleCrop>
  <LinksUpToDate>false</LinksUpToDate>
  <CharactersWithSpaces>11192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2024-07-02T02:36:00Z</dcterms:created>
  <dc:creator>hp</dc:creator>
  <cp:lastModifiedBy>段</cp:lastModifiedBy>
  <cp:lastPrinted>2024-07-14T23:31:00Z</cp:lastPrinted>
  <dcterms:modified xsi:type="dcterms:W3CDTF">2024-07-19T03:14:28Z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69ADCDA8B9C9422D963E48A5B45512C7_13</vt:lpwstr>
  </property>
</Properties>
</file>